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right"/>
        <w:rPr>
          <w:rFonts w:asciiTheme="minorEastAsia" w:hAnsiTheme="minorEastAsia" w:eastAsiaTheme="minorEastAsia" w:cstheme="minorEastAsia"/>
          <w:color w:val="auto"/>
          <w:highlight w:val="none"/>
        </w:rPr>
      </w:pPr>
      <w:bookmarkStart w:id="0" w:name="_Toc326783408"/>
      <w:bookmarkStart w:id="1" w:name="_Toc325731733"/>
      <w:bookmarkStart w:id="2" w:name="_Toc325446794"/>
    </w:p>
    <w:bookmarkEnd w:id="0"/>
    <w:bookmarkEnd w:id="1"/>
    <w:bookmarkEnd w:id="2"/>
    <w:p>
      <w:pPr>
        <w:spacing w:line="360" w:lineRule="auto"/>
        <w:jc w:val="center"/>
        <w:rPr>
          <w:rFonts w:asciiTheme="minorEastAsia" w:hAnsiTheme="minorEastAsia" w:eastAsiaTheme="minorEastAsia" w:cstheme="minorEastAsia"/>
          <w:b/>
          <w:color w:val="auto"/>
          <w:kern w:val="0"/>
          <w:sz w:val="44"/>
          <w:szCs w:val="44"/>
          <w:highlight w:val="none"/>
        </w:rPr>
      </w:pPr>
    </w:p>
    <w:p>
      <w:pPr>
        <w:jc w:val="center"/>
        <w:rPr>
          <w:rFonts w:hint="default"/>
          <w:sz w:val="48"/>
          <w:szCs w:val="48"/>
          <w:lang w:val="en-US" w:eastAsia="zh-CN"/>
        </w:rPr>
      </w:pPr>
      <w:r>
        <w:rPr>
          <w:rFonts w:hint="eastAsia" w:asciiTheme="minorEastAsia" w:hAnsiTheme="minorEastAsia" w:eastAsiaTheme="minorEastAsia" w:cstheme="minorEastAsia"/>
          <w:b w:val="0"/>
          <w:bCs w:val="0"/>
          <w:color w:val="auto"/>
          <w:sz w:val="56"/>
          <w:szCs w:val="56"/>
          <w:highlight w:val="none"/>
          <w:lang w:eastAsia="zh-CN"/>
        </w:rPr>
        <w:t>菏泽职业学院标准化考点建设项目</w:t>
      </w:r>
    </w:p>
    <w:p>
      <w:pPr>
        <w:spacing w:line="360" w:lineRule="auto"/>
        <w:jc w:val="center"/>
        <w:rPr>
          <w:rFonts w:asciiTheme="minorEastAsia" w:hAnsiTheme="minorEastAsia" w:eastAsiaTheme="minorEastAsia" w:cstheme="minorEastAsia"/>
          <w:bCs/>
          <w:color w:val="auto"/>
          <w:sz w:val="24"/>
          <w:highlight w:val="none"/>
        </w:rPr>
      </w:pPr>
    </w:p>
    <w:p>
      <w:pPr>
        <w:spacing w:line="360" w:lineRule="auto"/>
        <w:jc w:val="center"/>
        <w:rPr>
          <w:rFonts w:asciiTheme="minorEastAsia" w:hAnsiTheme="minorEastAsia" w:eastAsiaTheme="minorEastAsia" w:cstheme="minorEastAsia"/>
          <w:bCs/>
          <w:color w:val="auto"/>
          <w:sz w:val="24"/>
          <w:highlight w:val="none"/>
        </w:rPr>
      </w:pPr>
    </w:p>
    <w:p>
      <w:pPr>
        <w:spacing w:line="360" w:lineRule="auto"/>
        <w:jc w:val="center"/>
        <w:rPr>
          <w:rFonts w:asciiTheme="minorEastAsia" w:hAnsiTheme="minorEastAsia" w:eastAsiaTheme="minorEastAsia" w:cstheme="minorEastAsia"/>
          <w:bCs/>
          <w:color w:val="auto"/>
          <w:sz w:val="24"/>
          <w:highlight w:val="none"/>
        </w:rPr>
      </w:pPr>
    </w:p>
    <w:p>
      <w:pPr>
        <w:pStyle w:val="13"/>
        <w:rPr>
          <w:color w:val="auto"/>
          <w:highlight w:val="none"/>
        </w:rPr>
      </w:pPr>
    </w:p>
    <w:p>
      <w:pPr>
        <w:spacing w:line="360" w:lineRule="auto"/>
        <w:jc w:val="center"/>
        <w:rPr>
          <w:rFonts w:asciiTheme="minorEastAsia" w:hAnsiTheme="minorEastAsia" w:eastAsiaTheme="minorEastAsia" w:cstheme="minorEastAsia"/>
          <w:bCs/>
          <w:color w:val="auto"/>
          <w:sz w:val="24"/>
          <w:highlight w:val="none"/>
        </w:rPr>
      </w:pPr>
    </w:p>
    <w:p>
      <w:pPr>
        <w:spacing w:line="360" w:lineRule="auto"/>
        <w:jc w:val="center"/>
        <w:rPr>
          <w:rFonts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竞争性磋商文件</w:t>
      </w:r>
    </w:p>
    <w:p>
      <w:pPr>
        <w:spacing w:line="360" w:lineRule="auto"/>
        <w:jc w:val="center"/>
        <w:rPr>
          <w:rFonts w:asciiTheme="minorEastAsia" w:hAnsiTheme="minorEastAsia" w:eastAsiaTheme="minorEastAsia" w:cstheme="minorEastAsia"/>
          <w:bCs/>
          <w:color w:val="auto"/>
          <w:sz w:val="24"/>
          <w:highlight w:val="none"/>
        </w:rPr>
      </w:pPr>
      <w:r>
        <w:rPr>
          <w:rFonts w:hint="eastAsia" w:ascii="Times New Roman" w:hAnsi="宋体" w:cs="仿宋"/>
          <w:bCs/>
          <w:color w:val="auto"/>
          <w:sz w:val="24"/>
          <w:szCs w:val="32"/>
          <w:highlight w:val="none"/>
        </w:rPr>
        <w:t>（项目编号：SDGP371700000202302000081</w:t>
      </w:r>
      <w:r>
        <w:rPr>
          <w:rFonts w:hint="eastAsia" w:asciiTheme="minorEastAsia" w:hAnsiTheme="minorEastAsia" w:eastAsiaTheme="minorEastAsia" w:cstheme="minorEastAsia"/>
          <w:color w:val="auto"/>
          <w:sz w:val="30"/>
          <w:szCs w:val="30"/>
          <w:highlight w:val="none"/>
        </w:rPr>
        <w:t>）</w:t>
      </w:r>
    </w:p>
    <w:p>
      <w:pPr>
        <w:spacing w:line="360" w:lineRule="auto"/>
        <w:jc w:val="center"/>
        <w:rPr>
          <w:rFonts w:asciiTheme="minorEastAsia" w:hAnsiTheme="minorEastAsia" w:eastAsiaTheme="minorEastAsia" w:cstheme="minorEastAsia"/>
          <w:bCs/>
          <w:color w:val="auto"/>
          <w:sz w:val="24"/>
          <w:highlight w:val="none"/>
        </w:rPr>
      </w:pPr>
    </w:p>
    <w:p>
      <w:pPr>
        <w:spacing w:line="360" w:lineRule="auto"/>
        <w:rPr>
          <w:rFonts w:asciiTheme="minorEastAsia" w:hAnsiTheme="minorEastAsia" w:eastAsiaTheme="minorEastAsia" w:cstheme="minorEastAsia"/>
          <w:bCs/>
          <w:color w:val="auto"/>
          <w:sz w:val="24"/>
          <w:highlight w:val="none"/>
        </w:rPr>
      </w:pPr>
    </w:p>
    <w:p>
      <w:pPr>
        <w:pStyle w:val="13"/>
        <w:rPr>
          <w:color w:val="auto"/>
          <w:highlight w:val="none"/>
        </w:rPr>
      </w:pPr>
    </w:p>
    <w:p>
      <w:pPr>
        <w:spacing w:line="360" w:lineRule="auto"/>
        <w:jc w:val="center"/>
        <w:rPr>
          <w:rFonts w:asciiTheme="minorEastAsia" w:hAnsiTheme="minorEastAsia" w:eastAsiaTheme="minorEastAsia" w:cstheme="minorEastAsia"/>
          <w:bCs/>
          <w:color w:val="auto"/>
          <w:sz w:val="32"/>
          <w:szCs w:val="32"/>
          <w:highlight w:val="none"/>
        </w:rPr>
      </w:pPr>
    </w:p>
    <w:p>
      <w:pPr>
        <w:pStyle w:val="13"/>
        <w:rPr>
          <w:color w:val="auto"/>
          <w:highlight w:val="none"/>
        </w:rPr>
      </w:pPr>
    </w:p>
    <w:p>
      <w:pPr>
        <w:spacing w:line="360" w:lineRule="auto"/>
        <w:ind w:left="560" w:leftChars="200" w:firstLine="1280" w:firstLineChars="400"/>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采购单位：</w:t>
      </w:r>
      <w:r>
        <w:rPr>
          <w:rFonts w:hint="eastAsia" w:asciiTheme="minorEastAsia" w:hAnsiTheme="minorEastAsia" w:eastAsiaTheme="minorEastAsia" w:cstheme="minorEastAsia"/>
          <w:color w:val="auto"/>
          <w:sz w:val="32"/>
          <w:szCs w:val="32"/>
          <w:highlight w:val="none"/>
          <w:u w:val="single"/>
          <w:lang w:eastAsia="zh-CN"/>
        </w:rPr>
        <w:t>菏泽职业学院</w:t>
      </w:r>
      <w:r>
        <w:rPr>
          <w:rFonts w:hint="eastAsia" w:asciiTheme="minorEastAsia" w:hAnsiTheme="minorEastAsia" w:eastAsiaTheme="minorEastAsia" w:cstheme="minorEastAsia"/>
          <w:color w:val="auto"/>
          <w:sz w:val="32"/>
          <w:szCs w:val="32"/>
          <w:highlight w:val="none"/>
          <w:u w:val="single"/>
        </w:rPr>
        <w:t xml:space="preserve">     </w:t>
      </w:r>
    </w:p>
    <w:p>
      <w:pPr>
        <w:spacing w:line="360" w:lineRule="auto"/>
        <w:ind w:left="560" w:leftChars="200" w:firstLine="1280" w:firstLineChars="400"/>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u w:val="single"/>
        </w:rPr>
        <w:t xml:space="preserve"> </w:t>
      </w:r>
    </w:p>
    <w:p>
      <w:pPr>
        <w:spacing w:line="360" w:lineRule="auto"/>
        <w:ind w:left="560" w:leftChars="200" w:firstLine="1280" w:firstLineChars="400"/>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代理机构：</w:t>
      </w:r>
      <w:r>
        <w:rPr>
          <w:rFonts w:hint="eastAsia" w:asciiTheme="minorEastAsia" w:hAnsiTheme="minorEastAsia" w:eastAsiaTheme="minorEastAsia" w:cstheme="minorEastAsia"/>
          <w:color w:val="auto"/>
          <w:sz w:val="32"/>
          <w:szCs w:val="32"/>
          <w:highlight w:val="none"/>
          <w:u w:val="single"/>
        </w:rPr>
        <w:t xml:space="preserve">山东华标招标有限公司     </w:t>
      </w:r>
    </w:p>
    <w:p>
      <w:pPr>
        <w:pStyle w:val="42"/>
        <w:ind w:left="560" w:leftChars="200" w:firstLine="560"/>
        <w:rPr>
          <w:color w:val="auto"/>
          <w:highlight w:val="none"/>
        </w:rPr>
      </w:pPr>
    </w:p>
    <w:p>
      <w:pPr>
        <w:spacing w:line="360" w:lineRule="auto"/>
        <w:ind w:left="560" w:leftChars="200" w:firstLine="1280" w:firstLineChars="400"/>
        <w:rPr>
          <w:rFonts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2"/>
          <w:szCs w:val="32"/>
          <w:highlight w:val="none"/>
        </w:rPr>
        <w:t>日    期：二〇二</w:t>
      </w:r>
      <w:r>
        <w:rPr>
          <w:rFonts w:hint="eastAsia" w:asciiTheme="minorEastAsia" w:hAnsiTheme="minorEastAsia" w:eastAsiaTheme="minorEastAsia" w:cstheme="minorEastAsia"/>
          <w:color w:val="auto"/>
          <w:sz w:val="32"/>
          <w:szCs w:val="32"/>
          <w:highlight w:val="none"/>
          <w:lang w:eastAsia="zh-CN"/>
        </w:rPr>
        <w:t>三</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三</w:t>
      </w:r>
      <w:r>
        <w:rPr>
          <w:rFonts w:hint="eastAsia" w:asciiTheme="minorEastAsia" w:hAnsiTheme="minorEastAsia" w:eastAsiaTheme="minorEastAsia" w:cstheme="minorEastAsia"/>
          <w:color w:val="auto"/>
          <w:sz w:val="32"/>
          <w:szCs w:val="32"/>
          <w:highlight w:val="none"/>
        </w:rPr>
        <w:t xml:space="preserve">月 </w:t>
      </w:r>
      <w:r>
        <w:rPr>
          <w:rFonts w:hint="eastAsia" w:asciiTheme="minorEastAsia" w:hAnsiTheme="minorEastAsia" w:eastAsiaTheme="minorEastAsia" w:cstheme="minorEastAsia"/>
          <w:color w:val="auto"/>
          <w:sz w:val="36"/>
          <w:szCs w:val="36"/>
          <w:highlight w:val="none"/>
        </w:rPr>
        <w:t xml:space="preserve"> </w:t>
      </w:r>
      <w:r>
        <w:rPr>
          <w:rFonts w:hint="eastAsia" w:asciiTheme="minorEastAsia" w:hAnsiTheme="minorEastAsia" w:eastAsiaTheme="minorEastAsia" w:cstheme="minorEastAsia"/>
          <w:color w:val="auto"/>
          <w:sz w:val="36"/>
          <w:szCs w:val="36"/>
          <w:highlight w:val="none"/>
          <w:u w:val="single"/>
        </w:rPr>
        <w:t xml:space="preserve">      </w:t>
      </w:r>
    </w:p>
    <w:p>
      <w:pPr>
        <w:spacing w:line="360" w:lineRule="auto"/>
        <w:ind w:firstLine="840" w:firstLineChars="300"/>
        <w:jc w:val="left"/>
        <w:rPr>
          <w:rFonts w:asciiTheme="minorEastAsia" w:hAnsiTheme="minorEastAsia" w:eastAsiaTheme="minorEastAsia" w:cstheme="minorEastAsia"/>
          <w:color w:val="auto"/>
          <w:highlight w:val="none"/>
          <w:u w:val="single"/>
        </w:rPr>
      </w:pPr>
    </w:p>
    <w:p>
      <w:pPr>
        <w:jc w:val="center"/>
        <w:rPr>
          <w:rFonts w:asciiTheme="minorEastAsia" w:hAnsiTheme="minorEastAsia" w:eastAsiaTheme="minorEastAsia" w:cstheme="minorEastAsia"/>
          <w:color w:val="auto"/>
          <w:sz w:val="44"/>
          <w:szCs w:val="36"/>
          <w:highlight w:val="none"/>
        </w:rPr>
      </w:pPr>
      <w:r>
        <w:rPr>
          <w:rFonts w:hint="eastAsia" w:asciiTheme="minorEastAsia" w:hAnsiTheme="minorEastAsia" w:eastAsiaTheme="minorEastAsia" w:cstheme="minorEastAsia"/>
          <w:color w:val="auto"/>
          <w:sz w:val="44"/>
          <w:szCs w:val="36"/>
          <w:highlight w:val="none"/>
        </w:rPr>
        <w:br w:type="page"/>
      </w:r>
    </w:p>
    <w:p>
      <w:pPr>
        <w:jc w:val="center"/>
        <w:rPr>
          <w:rFonts w:asciiTheme="minorEastAsia" w:hAnsiTheme="minorEastAsia" w:eastAsiaTheme="minorEastAsia" w:cstheme="minorEastAsia"/>
          <w:color w:val="auto"/>
          <w:sz w:val="44"/>
          <w:szCs w:val="36"/>
          <w:highlight w:val="none"/>
          <w:lang w:val="zh-CN"/>
        </w:rPr>
      </w:pPr>
      <w:r>
        <w:rPr>
          <w:rFonts w:hint="eastAsia" w:asciiTheme="minorEastAsia" w:hAnsiTheme="minorEastAsia" w:eastAsiaTheme="minorEastAsia" w:cstheme="minorEastAsia"/>
          <w:color w:val="auto"/>
          <w:sz w:val="44"/>
          <w:szCs w:val="36"/>
          <w:highlight w:val="none"/>
          <w:lang w:val="zh-CN"/>
        </w:rPr>
        <w:t>目录</w:t>
      </w:r>
    </w:p>
    <w:p>
      <w:pPr>
        <w:pStyle w:val="42"/>
        <w:ind w:firstLine="560"/>
        <w:rPr>
          <w:color w:val="auto"/>
          <w:highlight w:val="none"/>
          <w:lang w:val="zh-CN"/>
        </w:rPr>
      </w:pPr>
    </w:p>
    <w:p>
      <w:pPr>
        <w:pStyle w:val="2"/>
        <w:tabs>
          <w:tab w:val="right" w:leader="dot" w:pos="8839"/>
        </w:tabs>
        <w:rPr>
          <w:rFonts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fldChar w:fldCharType="begin"/>
      </w:r>
      <w:r>
        <w:rPr>
          <w:rFonts w:hint="eastAsia" w:asciiTheme="minorEastAsia" w:hAnsiTheme="minorEastAsia" w:eastAsiaTheme="minorEastAsia" w:cstheme="minorEastAsia"/>
          <w:b w:val="0"/>
          <w:color w:val="auto"/>
          <w:sz w:val="28"/>
          <w:szCs w:val="28"/>
          <w:highlight w:val="none"/>
        </w:rPr>
        <w:instrText xml:space="preserve">TOC \o "1-2" \h \z \u</w:instrText>
      </w:r>
      <w:r>
        <w:rPr>
          <w:rFonts w:hint="eastAsia" w:asciiTheme="minorEastAsia" w:hAnsiTheme="minorEastAsia" w:eastAsiaTheme="minorEastAsia" w:cstheme="minorEastAsia"/>
          <w:b w:val="0"/>
          <w:color w:val="auto"/>
          <w:sz w:val="28"/>
          <w:szCs w:val="28"/>
          <w:highlight w:val="none"/>
        </w:rPr>
        <w:fldChar w:fldCharType="separate"/>
      </w:r>
      <w:r>
        <w:rPr>
          <w:color w:val="auto"/>
          <w:highlight w:val="none"/>
        </w:rPr>
        <w:fldChar w:fldCharType="begin"/>
      </w:r>
      <w:r>
        <w:rPr>
          <w:color w:val="auto"/>
          <w:highlight w:val="none"/>
        </w:rPr>
        <w:instrText xml:space="preserve"> HYPERLINK \l "_Toc10889" </w:instrText>
      </w:r>
      <w:r>
        <w:rPr>
          <w:color w:val="auto"/>
          <w:highlight w:val="none"/>
        </w:rPr>
        <w:fldChar w:fldCharType="separate"/>
      </w:r>
      <w:r>
        <w:rPr>
          <w:rFonts w:hint="eastAsia" w:asciiTheme="minorEastAsia" w:hAnsiTheme="minorEastAsia" w:eastAsiaTheme="minorEastAsia" w:cstheme="minorEastAsia"/>
          <w:b w:val="0"/>
          <w:color w:val="auto"/>
          <w:sz w:val="28"/>
          <w:szCs w:val="28"/>
          <w:highlight w:val="none"/>
        </w:rPr>
        <w:t>第一部分 竞争性磋商公告</w:t>
      </w:r>
      <w:r>
        <w:rPr>
          <w:rFonts w:hint="eastAsia" w:asciiTheme="minorEastAsia" w:hAnsiTheme="minorEastAsia" w:eastAsiaTheme="minorEastAsia" w:cstheme="minorEastAsia"/>
          <w:b w:val="0"/>
          <w:color w:val="auto"/>
          <w:sz w:val="28"/>
          <w:szCs w:val="28"/>
          <w:highlight w:val="none"/>
        </w:rPr>
        <w:tab/>
      </w:r>
      <w:r>
        <w:rPr>
          <w:rFonts w:hint="eastAsia" w:asciiTheme="minorEastAsia" w:hAnsiTheme="minorEastAsia" w:eastAsiaTheme="minorEastAsia" w:cstheme="minorEastAsia"/>
          <w:b w:val="0"/>
          <w:color w:val="auto"/>
          <w:sz w:val="28"/>
          <w:szCs w:val="28"/>
          <w:highlight w:val="none"/>
        </w:rPr>
        <w:fldChar w:fldCharType="begin"/>
      </w:r>
      <w:r>
        <w:rPr>
          <w:rFonts w:hint="eastAsia" w:asciiTheme="minorEastAsia" w:hAnsiTheme="minorEastAsia" w:eastAsiaTheme="minorEastAsia" w:cstheme="minorEastAsia"/>
          <w:b w:val="0"/>
          <w:color w:val="auto"/>
          <w:sz w:val="28"/>
          <w:szCs w:val="28"/>
          <w:highlight w:val="none"/>
        </w:rPr>
        <w:instrText xml:space="preserve"> PAGEREF _Toc10889 </w:instrText>
      </w:r>
      <w:r>
        <w:rPr>
          <w:rFonts w:hint="eastAsia" w:asciiTheme="minorEastAsia" w:hAnsiTheme="minorEastAsia" w:eastAsiaTheme="minorEastAsia" w:cstheme="minorEastAsia"/>
          <w:b w:val="0"/>
          <w:color w:val="auto"/>
          <w:sz w:val="28"/>
          <w:szCs w:val="28"/>
          <w:highlight w:val="none"/>
        </w:rPr>
        <w:fldChar w:fldCharType="separate"/>
      </w:r>
      <w:r>
        <w:rPr>
          <w:rFonts w:hint="eastAsia" w:asciiTheme="minorEastAsia" w:hAnsiTheme="minorEastAsia" w:eastAsiaTheme="minorEastAsia" w:cstheme="minorEastAsia"/>
          <w:b w:val="0"/>
          <w:color w:val="auto"/>
          <w:sz w:val="28"/>
          <w:szCs w:val="28"/>
          <w:highlight w:val="none"/>
        </w:rPr>
        <w:t>- 3 -</w:t>
      </w:r>
      <w:r>
        <w:rPr>
          <w:rFonts w:hint="eastAsia" w:asciiTheme="minorEastAsia" w:hAnsiTheme="minorEastAsia" w:eastAsiaTheme="minorEastAsia" w:cstheme="minorEastAsia"/>
          <w:b w:val="0"/>
          <w:color w:val="auto"/>
          <w:sz w:val="28"/>
          <w:szCs w:val="28"/>
          <w:highlight w:val="none"/>
        </w:rPr>
        <w:fldChar w:fldCharType="end"/>
      </w:r>
      <w:r>
        <w:rPr>
          <w:rFonts w:hint="eastAsia" w:asciiTheme="minorEastAsia" w:hAnsiTheme="minorEastAsia" w:eastAsiaTheme="minorEastAsia" w:cstheme="minorEastAsia"/>
          <w:b w:val="0"/>
          <w:color w:val="auto"/>
          <w:sz w:val="28"/>
          <w:szCs w:val="28"/>
          <w:highlight w:val="none"/>
        </w:rPr>
        <w:fldChar w:fldCharType="end"/>
      </w:r>
    </w:p>
    <w:p>
      <w:pPr>
        <w:pStyle w:val="2"/>
        <w:tabs>
          <w:tab w:val="right" w:leader="dot" w:pos="8839"/>
        </w:tabs>
        <w:rPr>
          <w:rFonts w:asciiTheme="minorEastAsia" w:hAnsiTheme="minorEastAsia" w:eastAsiaTheme="minorEastAsia" w:cstheme="minorEastAsia"/>
          <w:b w:val="0"/>
          <w:color w:val="auto"/>
          <w:sz w:val="28"/>
          <w:szCs w:val="28"/>
          <w:highlight w:val="none"/>
        </w:rPr>
      </w:pPr>
      <w:r>
        <w:rPr>
          <w:color w:val="auto"/>
          <w:highlight w:val="none"/>
        </w:rPr>
        <w:fldChar w:fldCharType="begin"/>
      </w:r>
      <w:r>
        <w:rPr>
          <w:color w:val="auto"/>
          <w:highlight w:val="none"/>
        </w:rPr>
        <w:instrText xml:space="preserve"> HYPERLINK \l "_Toc2914" </w:instrText>
      </w:r>
      <w:r>
        <w:rPr>
          <w:color w:val="auto"/>
          <w:highlight w:val="none"/>
        </w:rPr>
        <w:fldChar w:fldCharType="separate"/>
      </w:r>
      <w:r>
        <w:rPr>
          <w:rFonts w:hint="eastAsia" w:asciiTheme="minorEastAsia" w:hAnsiTheme="minorEastAsia" w:eastAsiaTheme="minorEastAsia" w:cstheme="minorEastAsia"/>
          <w:b w:val="0"/>
          <w:color w:val="auto"/>
          <w:sz w:val="28"/>
          <w:szCs w:val="28"/>
          <w:highlight w:val="none"/>
        </w:rPr>
        <w:t>第二部分 供应商须知</w:t>
      </w:r>
      <w:r>
        <w:rPr>
          <w:rFonts w:hint="eastAsia" w:asciiTheme="minorEastAsia" w:hAnsiTheme="minorEastAsia" w:eastAsiaTheme="minorEastAsia" w:cstheme="minorEastAsia"/>
          <w:b w:val="0"/>
          <w:color w:val="auto"/>
          <w:sz w:val="28"/>
          <w:szCs w:val="28"/>
          <w:highlight w:val="none"/>
        </w:rPr>
        <w:tab/>
      </w:r>
      <w:r>
        <w:rPr>
          <w:rFonts w:hint="eastAsia" w:asciiTheme="minorEastAsia" w:hAnsiTheme="minorEastAsia" w:eastAsiaTheme="minorEastAsia" w:cstheme="minorEastAsia"/>
          <w:b w:val="0"/>
          <w:color w:val="auto"/>
          <w:sz w:val="28"/>
          <w:szCs w:val="28"/>
          <w:highlight w:val="none"/>
        </w:rPr>
        <w:fldChar w:fldCharType="begin"/>
      </w:r>
      <w:r>
        <w:rPr>
          <w:rFonts w:hint="eastAsia" w:asciiTheme="minorEastAsia" w:hAnsiTheme="minorEastAsia" w:eastAsiaTheme="minorEastAsia" w:cstheme="minorEastAsia"/>
          <w:b w:val="0"/>
          <w:color w:val="auto"/>
          <w:sz w:val="28"/>
          <w:szCs w:val="28"/>
          <w:highlight w:val="none"/>
        </w:rPr>
        <w:instrText xml:space="preserve"> PAGEREF _Toc2914 </w:instrText>
      </w:r>
      <w:r>
        <w:rPr>
          <w:rFonts w:hint="eastAsia" w:asciiTheme="minorEastAsia" w:hAnsiTheme="minorEastAsia" w:eastAsiaTheme="minorEastAsia" w:cstheme="minorEastAsia"/>
          <w:b w:val="0"/>
          <w:color w:val="auto"/>
          <w:sz w:val="28"/>
          <w:szCs w:val="28"/>
          <w:highlight w:val="none"/>
        </w:rPr>
        <w:fldChar w:fldCharType="separate"/>
      </w:r>
      <w:r>
        <w:rPr>
          <w:rFonts w:hint="eastAsia" w:asciiTheme="minorEastAsia" w:hAnsiTheme="minorEastAsia" w:eastAsiaTheme="minorEastAsia" w:cstheme="minorEastAsia"/>
          <w:b w:val="0"/>
          <w:color w:val="auto"/>
          <w:sz w:val="28"/>
          <w:szCs w:val="28"/>
          <w:highlight w:val="none"/>
        </w:rPr>
        <w:t xml:space="preserve">- </w:t>
      </w:r>
      <w:r>
        <w:rPr>
          <w:rFonts w:hint="eastAsia" w:asciiTheme="minorEastAsia" w:hAnsiTheme="minorEastAsia" w:eastAsiaTheme="minorEastAsia" w:cstheme="minorEastAsia"/>
          <w:b w:val="0"/>
          <w:color w:val="auto"/>
          <w:sz w:val="28"/>
          <w:szCs w:val="28"/>
          <w:highlight w:val="none"/>
          <w:lang w:val="en-US" w:eastAsia="zh-CN"/>
        </w:rPr>
        <w:t>6</w:t>
      </w:r>
      <w:r>
        <w:rPr>
          <w:rFonts w:hint="eastAsia" w:asciiTheme="minorEastAsia" w:hAnsiTheme="minorEastAsia" w:eastAsiaTheme="minorEastAsia" w:cstheme="minorEastAsia"/>
          <w:b w:val="0"/>
          <w:color w:val="auto"/>
          <w:sz w:val="28"/>
          <w:szCs w:val="28"/>
          <w:highlight w:val="none"/>
        </w:rPr>
        <w:t xml:space="preserve"> -</w:t>
      </w:r>
      <w:r>
        <w:rPr>
          <w:rFonts w:hint="eastAsia" w:asciiTheme="minorEastAsia" w:hAnsiTheme="minorEastAsia" w:eastAsiaTheme="minorEastAsia" w:cstheme="minorEastAsia"/>
          <w:b w:val="0"/>
          <w:color w:val="auto"/>
          <w:sz w:val="28"/>
          <w:szCs w:val="28"/>
          <w:highlight w:val="none"/>
        </w:rPr>
        <w:fldChar w:fldCharType="end"/>
      </w:r>
      <w:r>
        <w:rPr>
          <w:rFonts w:hint="eastAsia" w:asciiTheme="minorEastAsia" w:hAnsiTheme="minorEastAsia" w:eastAsiaTheme="minorEastAsia" w:cstheme="minorEastAsia"/>
          <w:b w:val="0"/>
          <w:color w:val="auto"/>
          <w:sz w:val="28"/>
          <w:szCs w:val="28"/>
          <w:highlight w:val="none"/>
        </w:rPr>
        <w:fldChar w:fldCharType="end"/>
      </w:r>
    </w:p>
    <w:p>
      <w:pPr>
        <w:pStyle w:val="2"/>
        <w:tabs>
          <w:tab w:val="right" w:leader="dot" w:pos="8839"/>
        </w:tabs>
        <w:rPr>
          <w:rFonts w:asciiTheme="minorEastAsia" w:hAnsiTheme="minorEastAsia" w:eastAsiaTheme="minorEastAsia" w:cstheme="minorEastAsia"/>
          <w:b w:val="0"/>
          <w:color w:val="auto"/>
          <w:sz w:val="28"/>
          <w:szCs w:val="28"/>
          <w:highlight w:val="none"/>
        </w:rPr>
      </w:pPr>
      <w:r>
        <w:rPr>
          <w:color w:val="auto"/>
          <w:highlight w:val="none"/>
        </w:rPr>
        <w:fldChar w:fldCharType="begin"/>
      </w:r>
      <w:r>
        <w:rPr>
          <w:color w:val="auto"/>
          <w:highlight w:val="none"/>
        </w:rPr>
        <w:instrText xml:space="preserve"> HYPERLINK \l "_Toc22517" </w:instrText>
      </w:r>
      <w:r>
        <w:rPr>
          <w:color w:val="auto"/>
          <w:highlight w:val="none"/>
        </w:rPr>
        <w:fldChar w:fldCharType="separate"/>
      </w:r>
      <w:r>
        <w:rPr>
          <w:rFonts w:hint="eastAsia" w:asciiTheme="minorEastAsia" w:hAnsiTheme="minorEastAsia" w:eastAsiaTheme="minorEastAsia" w:cstheme="minorEastAsia"/>
          <w:b w:val="0"/>
          <w:color w:val="auto"/>
          <w:sz w:val="28"/>
          <w:szCs w:val="28"/>
          <w:highlight w:val="none"/>
        </w:rPr>
        <w:t>第三部分 开标、评审、定标</w:t>
      </w:r>
      <w:r>
        <w:rPr>
          <w:rFonts w:hint="eastAsia" w:asciiTheme="minorEastAsia" w:hAnsiTheme="minorEastAsia" w:eastAsiaTheme="minorEastAsia" w:cstheme="minorEastAsia"/>
          <w:b w:val="0"/>
          <w:color w:val="auto"/>
          <w:sz w:val="28"/>
          <w:szCs w:val="28"/>
          <w:highlight w:val="none"/>
        </w:rPr>
        <w:tab/>
      </w:r>
      <w:r>
        <w:rPr>
          <w:rFonts w:hint="eastAsia" w:asciiTheme="minorEastAsia" w:hAnsiTheme="minorEastAsia" w:eastAsiaTheme="minorEastAsia" w:cstheme="minorEastAsia"/>
          <w:b w:val="0"/>
          <w:color w:val="auto"/>
          <w:sz w:val="28"/>
          <w:szCs w:val="28"/>
          <w:highlight w:val="none"/>
        </w:rPr>
        <w:fldChar w:fldCharType="begin"/>
      </w:r>
      <w:r>
        <w:rPr>
          <w:rFonts w:hint="eastAsia" w:asciiTheme="minorEastAsia" w:hAnsiTheme="minorEastAsia" w:eastAsiaTheme="minorEastAsia" w:cstheme="minorEastAsia"/>
          <w:b w:val="0"/>
          <w:color w:val="auto"/>
          <w:sz w:val="28"/>
          <w:szCs w:val="28"/>
          <w:highlight w:val="none"/>
        </w:rPr>
        <w:instrText xml:space="preserve"> PAGEREF _Toc22517 </w:instrText>
      </w:r>
      <w:r>
        <w:rPr>
          <w:rFonts w:hint="eastAsia" w:asciiTheme="minorEastAsia" w:hAnsiTheme="minorEastAsia" w:eastAsiaTheme="minorEastAsia" w:cstheme="minorEastAsia"/>
          <w:b w:val="0"/>
          <w:color w:val="auto"/>
          <w:sz w:val="28"/>
          <w:szCs w:val="28"/>
          <w:highlight w:val="none"/>
        </w:rPr>
        <w:fldChar w:fldCharType="separate"/>
      </w:r>
      <w:r>
        <w:rPr>
          <w:rFonts w:hint="eastAsia" w:asciiTheme="minorEastAsia" w:hAnsiTheme="minorEastAsia" w:eastAsiaTheme="minorEastAsia" w:cstheme="minorEastAsia"/>
          <w:b w:val="0"/>
          <w:color w:val="auto"/>
          <w:sz w:val="28"/>
          <w:szCs w:val="28"/>
          <w:highlight w:val="none"/>
        </w:rPr>
        <w:t xml:space="preserve">- </w:t>
      </w:r>
      <w:r>
        <w:rPr>
          <w:rFonts w:hint="eastAsia" w:asciiTheme="minorEastAsia" w:hAnsiTheme="minorEastAsia" w:eastAsiaTheme="minorEastAsia" w:cstheme="minorEastAsia"/>
          <w:b w:val="0"/>
          <w:color w:val="auto"/>
          <w:sz w:val="28"/>
          <w:szCs w:val="28"/>
          <w:highlight w:val="none"/>
          <w:lang w:val="en-US" w:eastAsia="zh-CN"/>
        </w:rPr>
        <w:t>21</w:t>
      </w:r>
      <w:r>
        <w:rPr>
          <w:rFonts w:hint="eastAsia" w:asciiTheme="minorEastAsia" w:hAnsiTheme="minorEastAsia" w:eastAsiaTheme="minorEastAsia" w:cstheme="minorEastAsia"/>
          <w:b w:val="0"/>
          <w:color w:val="auto"/>
          <w:sz w:val="28"/>
          <w:szCs w:val="28"/>
          <w:highlight w:val="none"/>
        </w:rPr>
        <w:t xml:space="preserve"> -</w:t>
      </w:r>
      <w:r>
        <w:rPr>
          <w:rFonts w:hint="eastAsia" w:asciiTheme="minorEastAsia" w:hAnsiTheme="minorEastAsia" w:eastAsiaTheme="minorEastAsia" w:cstheme="minorEastAsia"/>
          <w:b w:val="0"/>
          <w:color w:val="auto"/>
          <w:sz w:val="28"/>
          <w:szCs w:val="28"/>
          <w:highlight w:val="none"/>
        </w:rPr>
        <w:fldChar w:fldCharType="end"/>
      </w:r>
      <w:r>
        <w:rPr>
          <w:rFonts w:hint="eastAsia" w:asciiTheme="minorEastAsia" w:hAnsiTheme="minorEastAsia" w:eastAsiaTheme="minorEastAsia" w:cstheme="minorEastAsia"/>
          <w:b w:val="0"/>
          <w:color w:val="auto"/>
          <w:sz w:val="28"/>
          <w:szCs w:val="28"/>
          <w:highlight w:val="none"/>
        </w:rPr>
        <w:fldChar w:fldCharType="end"/>
      </w:r>
    </w:p>
    <w:p>
      <w:pPr>
        <w:pStyle w:val="2"/>
        <w:tabs>
          <w:tab w:val="right" w:leader="dot" w:pos="8839"/>
        </w:tabs>
        <w:rPr>
          <w:rFonts w:asciiTheme="minorEastAsia" w:hAnsiTheme="minorEastAsia" w:eastAsiaTheme="minorEastAsia" w:cstheme="minorEastAsia"/>
          <w:b w:val="0"/>
          <w:color w:val="auto"/>
          <w:sz w:val="28"/>
          <w:szCs w:val="28"/>
          <w:highlight w:val="none"/>
        </w:rPr>
      </w:pPr>
      <w:r>
        <w:rPr>
          <w:color w:val="auto"/>
          <w:highlight w:val="none"/>
        </w:rPr>
        <w:fldChar w:fldCharType="begin"/>
      </w:r>
      <w:r>
        <w:rPr>
          <w:color w:val="auto"/>
          <w:highlight w:val="none"/>
        </w:rPr>
        <w:instrText xml:space="preserve"> HYPERLINK \l "_Toc18290" </w:instrText>
      </w:r>
      <w:r>
        <w:rPr>
          <w:color w:val="auto"/>
          <w:highlight w:val="none"/>
        </w:rPr>
        <w:fldChar w:fldCharType="separate"/>
      </w:r>
      <w:r>
        <w:rPr>
          <w:rFonts w:hint="eastAsia" w:asciiTheme="minorEastAsia" w:hAnsiTheme="minorEastAsia" w:eastAsiaTheme="minorEastAsia" w:cstheme="minorEastAsia"/>
          <w:b w:val="0"/>
          <w:color w:val="auto"/>
          <w:sz w:val="28"/>
          <w:szCs w:val="28"/>
          <w:highlight w:val="none"/>
        </w:rPr>
        <w:t>第四部分 授予合同</w:t>
      </w:r>
      <w:r>
        <w:rPr>
          <w:rFonts w:hint="eastAsia" w:asciiTheme="minorEastAsia" w:hAnsiTheme="minorEastAsia" w:eastAsiaTheme="minorEastAsia" w:cstheme="minorEastAsia"/>
          <w:b w:val="0"/>
          <w:color w:val="auto"/>
          <w:sz w:val="28"/>
          <w:szCs w:val="28"/>
          <w:highlight w:val="none"/>
        </w:rPr>
        <w:tab/>
      </w:r>
      <w:r>
        <w:rPr>
          <w:rFonts w:hint="eastAsia" w:asciiTheme="minorEastAsia" w:hAnsiTheme="minorEastAsia" w:eastAsiaTheme="minorEastAsia" w:cstheme="minorEastAsia"/>
          <w:b w:val="0"/>
          <w:color w:val="auto"/>
          <w:sz w:val="28"/>
          <w:szCs w:val="28"/>
          <w:highlight w:val="none"/>
        </w:rPr>
        <w:fldChar w:fldCharType="begin"/>
      </w:r>
      <w:r>
        <w:rPr>
          <w:rFonts w:hint="eastAsia" w:asciiTheme="minorEastAsia" w:hAnsiTheme="minorEastAsia" w:eastAsiaTheme="minorEastAsia" w:cstheme="minorEastAsia"/>
          <w:b w:val="0"/>
          <w:color w:val="auto"/>
          <w:sz w:val="28"/>
          <w:szCs w:val="28"/>
          <w:highlight w:val="none"/>
        </w:rPr>
        <w:instrText xml:space="preserve"> PAGEREF _Toc18290 </w:instrText>
      </w:r>
      <w:r>
        <w:rPr>
          <w:rFonts w:hint="eastAsia" w:asciiTheme="minorEastAsia" w:hAnsiTheme="minorEastAsia" w:eastAsiaTheme="minorEastAsia" w:cstheme="minorEastAsia"/>
          <w:b w:val="0"/>
          <w:color w:val="auto"/>
          <w:sz w:val="28"/>
          <w:szCs w:val="28"/>
          <w:highlight w:val="none"/>
        </w:rPr>
        <w:fldChar w:fldCharType="separate"/>
      </w:r>
      <w:r>
        <w:rPr>
          <w:rFonts w:hint="eastAsia" w:asciiTheme="minorEastAsia" w:hAnsiTheme="minorEastAsia" w:eastAsiaTheme="minorEastAsia" w:cstheme="minorEastAsia"/>
          <w:b w:val="0"/>
          <w:color w:val="auto"/>
          <w:sz w:val="28"/>
          <w:szCs w:val="28"/>
          <w:highlight w:val="none"/>
        </w:rPr>
        <w:t xml:space="preserve">- </w:t>
      </w:r>
      <w:r>
        <w:rPr>
          <w:rFonts w:hint="eastAsia" w:asciiTheme="minorEastAsia" w:hAnsiTheme="minorEastAsia" w:eastAsiaTheme="minorEastAsia" w:cstheme="minorEastAsia"/>
          <w:b w:val="0"/>
          <w:color w:val="auto"/>
          <w:sz w:val="28"/>
          <w:szCs w:val="28"/>
          <w:highlight w:val="none"/>
          <w:lang w:val="en-US" w:eastAsia="zh-CN"/>
        </w:rPr>
        <w:t>28</w:t>
      </w:r>
      <w:r>
        <w:rPr>
          <w:rFonts w:hint="eastAsia" w:asciiTheme="minorEastAsia" w:hAnsiTheme="minorEastAsia" w:eastAsiaTheme="minorEastAsia" w:cstheme="minorEastAsia"/>
          <w:b w:val="0"/>
          <w:color w:val="auto"/>
          <w:sz w:val="28"/>
          <w:szCs w:val="28"/>
          <w:highlight w:val="none"/>
        </w:rPr>
        <w:t xml:space="preserve"> -</w:t>
      </w:r>
      <w:r>
        <w:rPr>
          <w:rFonts w:hint="eastAsia" w:asciiTheme="minorEastAsia" w:hAnsiTheme="minorEastAsia" w:eastAsiaTheme="minorEastAsia" w:cstheme="minorEastAsia"/>
          <w:b w:val="0"/>
          <w:color w:val="auto"/>
          <w:sz w:val="28"/>
          <w:szCs w:val="28"/>
          <w:highlight w:val="none"/>
        </w:rPr>
        <w:fldChar w:fldCharType="end"/>
      </w:r>
      <w:r>
        <w:rPr>
          <w:rFonts w:hint="eastAsia" w:asciiTheme="minorEastAsia" w:hAnsiTheme="minorEastAsia" w:eastAsiaTheme="minorEastAsia" w:cstheme="minorEastAsia"/>
          <w:b w:val="0"/>
          <w:color w:val="auto"/>
          <w:sz w:val="28"/>
          <w:szCs w:val="28"/>
          <w:highlight w:val="none"/>
        </w:rPr>
        <w:fldChar w:fldCharType="end"/>
      </w:r>
    </w:p>
    <w:p>
      <w:pPr>
        <w:pStyle w:val="2"/>
        <w:tabs>
          <w:tab w:val="right" w:leader="dot" w:pos="8839"/>
        </w:tabs>
        <w:rPr>
          <w:rFonts w:asciiTheme="minorEastAsia" w:hAnsiTheme="minorEastAsia" w:eastAsiaTheme="minorEastAsia" w:cstheme="minorEastAsia"/>
          <w:b w:val="0"/>
          <w:color w:val="auto"/>
          <w:sz w:val="28"/>
          <w:szCs w:val="28"/>
          <w:highlight w:val="none"/>
        </w:rPr>
      </w:pPr>
      <w:r>
        <w:rPr>
          <w:color w:val="auto"/>
          <w:highlight w:val="none"/>
        </w:rPr>
        <w:fldChar w:fldCharType="begin"/>
      </w:r>
      <w:r>
        <w:rPr>
          <w:color w:val="auto"/>
          <w:highlight w:val="none"/>
        </w:rPr>
        <w:instrText xml:space="preserve"> HYPERLINK \l "_Toc8986" </w:instrText>
      </w:r>
      <w:r>
        <w:rPr>
          <w:color w:val="auto"/>
          <w:highlight w:val="none"/>
        </w:rPr>
        <w:fldChar w:fldCharType="separate"/>
      </w:r>
      <w:r>
        <w:rPr>
          <w:rFonts w:hint="eastAsia" w:asciiTheme="minorEastAsia" w:hAnsiTheme="minorEastAsia" w:eastAsiaTheme="minorEastAsia" w:cstheme="minorEastAsia"/>
          <w:b w:val="0"/>
          <w:color w:val="auto"/>
          <w:sz w:val="28"/>
          <w:szCs w:val="28"/>
          <w:highlight w:val="none"/>
        </w:rPr>
        <w:t>第五部分 项目</w:t>
      </w:r>
      <w:r>
        <w:rPr>
          <w:rFonts w:hint="eastAsia" w:asciiTheme="minorEastAsia" w:hAnsiTheme="minorEastAsia" w:eastAsiaTheme="minorEastAsia" w:cstheme="minorEastAsia"/>
          <w:b w:val="0"/>
          <w:color w:val="auto"/>
          <w:sz w:val="28"/>
          <w:szCs w:val="28"/>
          <w:highlight w:val="none"/>
          <w:lang w:eastAsia="zh-CN"/>
        </w:rPr>
        <w:t>技术参数</w:t>
      </w:r>
      <w:r>
        <w:rPr>
          <w:rFonts w:hint="eastAsia" w:asciiTheme="minorEastAsia" w:hAnsiTheme="minorEastAsia" w:eastAsiaTheme="minorEastAsia" w:cstheme="minorEastAsia"/>
          <w:b w:val="0"/>
          <w:color w:val="auto"/>
          <w:sz w:val="28"/>
          <w:szCs w:val="28"/>
          <w:highlight w:val="none"/>
        </w:rPr>
        <w:t>要求</w:t>
      </w:r>
      <w:r>
        <w:rPr>
          <w:rFonts w:hint="eastAsia" w:asciiTheme="minorEastAsia" w:hAnsiTheme="minorEastAsia" w:eastAsiaTheme="minorEastAsia" w:cstheme="minorEastAsia"/>
          <w:b w:val="0"/>
          <w:color w:val="auto"/>
          <w:sz w:val="28"/>
          <w:szCs w:val="28"/>
          <w:highlight w:val="none"/>
        </w:rPr>
        <w:tab/>
      </w:r>
      <w:r>
        <w:rPr>
          <w:rFonts w:hint="eastAsia" w:asciiTheme="minorEastAsia" w:hAnsiTheme="minorEastAsia" w:eastAsiaTheme="minorEastAsia" w:cstheme="minorEastAsia"/>
          <w:b w:val="0"/>
          <w:color w:val="auto"/>
          <w:sz w:val="28"/>
          <w:szCs w:val="28"/>
          <w:highlight w:val="none"/>
        </w:rPr>
        <w:fldChar w:fldCharType="begin"/>
      </w:r>
      <w:r>
        <w:rPr>
          <w:rFonts w:hint="eastAsia" w:asciiTheme="minorEastAsia" w:hAnsiTheme="minorEastAsia" w:eastAsiaTheme="minorEastAsia" w:cstheme="minorEastAsia"/>
          <w:b w:val="0"/>
          <w:color w:val="auto"/>
          <w:sz w:val="28"/>
          <w:szCs w:val="28"/>
          <w:highlight w:val="none"/>
        </w:rPr>
        <w:instrText xml:space="preserve"> PAGEREF _Toc8986 </w:instrText>
      </w:r>
      <w:r>
        <w:rPr>
          <w:rFonts w:hint="eastAsia" w:asciiTheme="minorEastAsia" w:hAnsiTheme="minorEastAsia" w:eastAsiaTheme="minorEastAsia" w:cstheme="minorEastAsia"/>
          <w:b w:val="0"/>
          <w:color w:val="auto"/>
          <w:sz w:val="28"/>
          <w:szCs w:val="28"/>
          <w:highlight w:val="none"/>
        </w:rPr>
        <w:fldChar w:fldCharType="separate"/>
      </w:r>
      <w:r>
        <w:rPr>
          <w:rFonts w:hint="eastAsia" w:asciiTheme="minorEastAsia" w:hAnsiTheme="minorEastAsia" w:eastAsiaTheme="minorEastAsia" w:cstheme="minorEastAsia"/>
          <w:b w:val="0"/>
          <w:color w:val="auto"/>
          <w:sz w:val="28"/>
          <w:szCs w:val="28"/>
          <w:highlight w:val="none"/>
        </w:rPr>
        <w:t>- 3</w:t>
      </w:r>
      <w:r>
        <w:rPr>
          <w:rFonts w:hint="eastAsia" w:asciiTheme="minorEastAsia" w:hAnsiTheme="minorEastAsia" w:eastAsiaTheme="minorEastAsia" w:cstheme="minorEastAsia"/>
          <w:b w:val="0"/>
          <w:color w:val="auto"/>
          <w:sz w:val="28"/>
          <w:szCs w:val="28"/>
          <w:highlight w:val="none"/>
          <w:lang w:val="en-US" w:eastAsia="zh-CN"/>
        </w:rPr>
        <w:t>3</w:t>
      </w:r>
      <w:r>
        <w:rPr>
          <w:rFonts w:hint="eastAsia" w:asciiTheme="minorEastAsia" w:hAnsiTheme="minorEastAsia" w:eastAsiaTheme="minorEastAsia" w:cstheme="minorEastAsia"/>
          <w:b w:val="0"/>
          <w:color w:val="auto"/>
          <w:sz w:val="28"/>
          <w:szCs w:val="28"/>
          <w:highlight w:val="none"/>
        </w:rPr>
        <w:t xml:space="preserve"> -</w:t>
      </w:r>
      <w:r>
        <w:rPr>
          <w:rFonts w:hint="eastAsia" w:asciiTheme="minorEastAsia" w:hAnsiTheme="minorEastAsia" w:eastAsiaTheme="minorEastAsia" w:cstheme="minorEastAsia"/>
          <w:b w:val="0"/>
          <w:color w:val="auto"/>
          <w:sz w:val="28"/>
          <w:szCs w:val="28"/>
          <w:highlight w:val="none"/>
        </w:rPr>
        <w:fldChar w:fldCharType="end"/>
      </w:r>
      <w:r>
        <w:rPr>
          <w:rFonts w:hint="eastAsia" w:asciiTheme="minorEastAsia" w:hAnsiTheme="minorEastAsia" w:eastAsiaTheme="minorEastAsia" w:cstheme="minorEastAsia"/>
          <w:b w:val="0"/>
          <w:color w:val="auto"/>
          <w:sz w:val="28"/>
          <w:szCs w:val="28"/>
          <w:highlight w:val="none"/>
        </w:rPr>
        <w:fldChar w:fldCharType="end"/>
      </w:r>
    </w:p>
    <w:p>
      <w:pPr>
        <w:pStyle w:val="2"/>
        <w:tabs>
          <w:tab w:val="right" w:leader="dot" w:pos="8839"/>
        </w:tabs>
        <w:rPr>
          <w:rFonts w:asciiTheme="minorEastAsia" w:hAnsiTheme="minorEastAsia" w:eastAsiaTheme="minorEastAsia" w:cstheme="minorEastAsia"/>
          <w:b w:val="0"/>
          <w:color w:val="auto"/>
          <w:sz w:val="28"/>
          <w:szCs w:val="28"/>
          <w:highlight w:val="none"/>
        </w:rPr>
      </w:pPr>
      <w:r>
        <w:rPr>
          <w:color w:val="auto"/>
          <w:highlight w:val="none"/>
        </w:rPr>
        <w:fldChar w:fldCharType="begin"/>
      </w:r>
      <w:r>
        <w:rPr>
          <w:color w:val="auto"/>
          <w:highlight w:val="none"/>
        </w:rPr>
        <w:instrText xml:space="preserve"> HYPERLINK \l "_Toc4304" </w:instrText>
      </w:r>
      <w:r>
        <w:rPr>
          <w:color w:val="auto"/>
          <w:highlight w:val="none"/>
        </w:rPr>
        <w:fldChar w:fldCharType="separate"/>
      </w:r>
      <w:r>
        <w:rPr>
          <w:rFonts w:hint="eastAsia" w:asciiTheme="minorEastAsia" w:hAnsiTheme="minorEastAsia" w:eastAsiaTheme="minorEastAsia" w:cstheme="minorEastAsia"/>
          <w:b w:val="0"/>
          <w:color w:val="auto"/>
          <w:sz w:val="28"/>
          <w:szCs w:val="28"/>
          <w:highlight w:val="none"/>
        </w:rPr>
        <w:t>第六部分  附件</w:t>
      </w:r>
      <w:r>
        <w:rPr>
          <w:rFonts w:hint="eastAsia" w:asciiTheme="minorEastAsia" w:hAnsiTheme="minorEastAsia" w:eastAsiaTheme="minorEastAsia" w:cstheme="minorEastAsia"/>
          <w:b w:val="0"/>
          <w:color w:val="auto"/>
          <w:sz w:val="28"/>
          <w:szCs w:val="28"/>
          <w:highlight w:val="none"/>
        </w:rPr>
        <w:tab/>
      </w:r>
      <w:r>
        <w:rPr>
          <w:rFonts w:hint="eastAsia" w:asciiTheme="minorEastAsia" w:hAnsiTheme="minorEastAsia" w:eastAsiaTheme="minorEastAsia" w:cstheme="minorEastAsia"/>
          <w:b w:val="0"/>
          <w:color w:val="auto"/>
          <w:sz w:val="28"/>
          <w:szCs w:val="28"/>
          <w:highlight w:val="none"/>
        </w:rPr>
        <w:fldChar w:fldCharType="begin"/>
      </w:r>
      <w:r>
        <w:rPr>
          <w:rFonts w:hint="eastAsia" w:asciiTheme="minorEastAsia" w:hAnsiTheme="minorEastAsia" w:eastAsiaTheme="minorEastAsia" w:cstheme="minorEastAsia"/>
          <w:b w:val="0"/>
          <w:color w:val="auto"/>
          <w:sz w:val="28"/>
          <w:szCs w:val="28"/>
          <w:highlight w:val="none"/>
        </w:rPr>
        <w:instrText xml:space="preserve"> PAGEREF _Toc4304 </w:instrText>
      </w:r>
      <w:r>
        <w:rPr>
          <w:rFonts w:hint="eastAsia" w:asciiTheme="minorEastAsia" w:hAnsiTheme="minorEastAsia" w:eastAsiaTheme="minorEastAsia" w:cstheme="minorEastAsia"/>
          <w:b w:val="0"/>
          <w:color w:val="auto"/>
          <w:sz w:val="28"/>
          <w:szCs w:val="28"/>
          <w:highlight w:val="none"/>
        </w:rPr>
        <w:fldChar w:fldCharType="separate"/>
      </w:r>
      <w:r>
        <w:rPr>
          <w:rFonts w:hint="eastAsia" w:asciiTheme="minorEastAsia" w:hAnsiTheme="minorEastAsia" w:eastAsiaTheme="minorEastAsia" w:cstheme="minorEastAsia"/>
          <w:b w:val="0"/>
          <w:color w:val="auto"/>
          <w:sz w:val="28"/>
          <w:szCs w:val="28"/>
          <w:highlight w:val="none"/>
        </w:rPr>
        <w:t xml:space="preserve">- </w:t>
      </w:r>
      <w:r>
        <w:rPr>
          <w:rFonts w:hint="eastAsia" w:asciiTheme="minorEastAsia" w:hAnsiTheme="minorEastAsia" w:eastAsiaTheme="minorEastAsia" w:cstheme="minorEastAsia"/>
          <w:b w:val="0"/>
          <w:color w:val="auto"/>
          <w:sz w:val="28"/>
          <w:szCs w:val="28"/>
          <w:highlight w:val="none"/>
          <w:lang w:val="en-US" w:eastAsia="zh-CN"/>
        </w:rPr>
        <w:t>50</w:t>
      </w:r>
      <w:r>
        <w:rPr>
          <w:rFonts w:hint="eastAsia" w:asciiTheme="minorEastAsia" w:hAnsiTheme="minorEastAsia" w:eastAsiaTheme="minorEastAsia" w:cstheme="minorEastAsia"/>
          <w:b w:val="0"/>
          <w:color w:val="auto"/>
          <w:sz w:val="28"/>
          <w:szCs w:val="28"/>
          <w:highlight w:val="none"/>
        </w:rPr>
        <w:t xml:space="preserve"> -</w:t>
      </w:r>
      <w:r>
        <w:rPr>
          <w:rFonts w:hint="eastAsia" w:asciiTheme="minorEastAsia" w:hAnsiTheme="minorEastAsia" w:eastAsiaTheme="minorEastAsia" w:cstheme="minorEastAsia"/>
          <w:b w:val="0"/>
          <w:color w:val="auto"/>
          <w:sz w:val="28"/>
          <w:szCs w:val="28"/>
          <w:highlight w:val="none"/>
        </w:rPr>
        <w:fldChar w:fldCharType="end"/>
      </w:r>
      <w:r>
        <w:rPr>
          <w:rFonts w:hint="eastAsia" w:asciiTheme="minorEastAsia" w:hAnsiTheme="minorEastAsia" w:eastAsiaTheme="minorEastAsia" w:cstheme="minorEastAsia"/>
          <w:b w:val="0"/>
          <w:color w:val="auto"/>
          <w:sz w:val="28"/>
          <w:szCs w:val="28"/>
          <w:highlight w:val="none"/>
        </w:rPr>
        <w:fldChar w:fldCharType="end"/>
      </w:r>
    </w:p>
    <w:p>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highlight w:val="none"/>
        </w:rPr>
        <w:fldChar w:fldCharType="end"/>
      </w:r>
    </w:p>
    <w:p>
      <w:pPr>
        <w:rPr>
          <w:rFonts w:asciiTheme="minorEastAsia" w:hAnsiTheme="minorEastAsia" w:eastAsiaTheme="minorEastAsia" w:cstheme="minorEastAsia"/>
          <w:b/>
          <w:bCs/>
          <w:color w:val="auto"/>
          <w:highlight w:val="none"/>
        </w:rPr>
      </w:pPr>
    </w:p>
    <w:p>
      <w:pPr>
        <w:widowControl/>
        <w:jc w:val="left"/>
        <w:rPr>
          <w:rFonts w:asciiTheme="minorEastAsia" w:hAnsiTheme="minorEastAsia" w:eastAsiaTheme="minorEastAsia" w:cstheme="minorEastAsia"/>
          <w:b/>
          <w:bCs/>
          <w:color w:val="auto"/>
          <w:kern w:val="44"/>
          <w:sz w:val="36"/>
          <w:szCs w:val="36"/>
          <w:highlight w:val="none"/>
        </w:rPr>
      </w:pPr>
      <w:bookmarkStart w:id="3" w:name="_Toc332979542"/>
    </w:p>
    <w:p>
      <w:pPr>
        <w:pStyle w:val="3"/>
        <w:rPr>
          <w:rFonts w:asciiTheme="minorEastAsia" w:hAnsiTheme="minorEastAsia" w:eastAsiaTheme="minorEastAsia" w:cstheme="minorEastAsia"/>
          <w:color w:val="auto"/>
          <w:sz w:val="36"/>
          <w:szCs w:val="36"/>
          <w:highlight w:val="none"/>
        </w:rPr>
      </w:pPr>
      <w:bookmarkStart w:id="4" w:name="_Toc10889"/>
      <w:r>
        <w:rPr>
          <w:rFonts w:hint="eastAsia" w:asciiTheme="minorEastAsia" w:hAnsiTheme="minorEastAsia" w:eastAsiaTheme="minorEastAsia" w:cstheme="minorEastAsia"/>
          <w:color w:val="auto"/>
          <w:sz w:val="36"/>
          <w:szCs w:val="36"/>
          <w:highlight w:val="none"/>
        </w:rPr>
        <w:br w:type="page"/>
      </w:r>
      <w:r>
        <w:rPr>
          <w:rFonts w:hint="eastAsia" w:asciiTheme="minorEastAsia" w:hAnsiTheme="minorEastAsia" w:eastAsiaTheme="minorEastAsia" w:cstheme="minorEastAsia"/>
          <w:color w:val="auto"/>
          <w:sz w:val="36"/>
          <w:szCs w:val="36"/>
          <w:highlight w:val="none"/>
        </w:rPr>
        <w:t xml:space="preserve">第一部分 </w:t>
      </w:r>
      <w:bookmarkEnd w:id="3"/>
      <w:bookmarkEnd w:id="4"/>
      <w:bookmarkStart w:id="122" w:name="_GoBack"/>
      <w:r>
        <w:rPr>
          <w:rFonts w:hint="eastAsia" w:asciiTheme="minorEastAsia" w:hAnsiTheme="minorEastAsia" w:eastAsiaTheme="minorEastAsia" w:cstheme="minorEastAsia"/>
          <w:color w:val="auto"/>
          <w:sz w:val="36"/>
          <w:szCs w:val="36"/>
          <w:highlight w:val="none"/>
        </w:rPr>
        <w:t>竞争性磋商公告</w:t>
      </w:r>
    </w:p>
    <w:p>
      <w:pPr>
        <w:spacing w:line="360" w:lineRule="auto"/>
        <w:ind w:firstLine="241" w:firstLineChars="100"/>
        <w:rPr>
          <w:rFonts w:ascii="Times New Roman" w:hAnsi="宋体" w:cs="仿宋"/>
          <w:b/>
          <w:color w:val="auto"/>
          <w:sz w:val="24"/>
          <w:szCs w:val="32"/>
          <w:highlight w:val="none"/>
        </w:rPr>
      </w:pPr>
      <w:bookmarkStart w:id="5" w:name="_Toc325620702"/>
      <w:bookmarkStart w:id="6" w:name="_Toc325582066"/>
      <w:bookmarkStart w:id="7" w:name="_Toc332979543"/>
      <w:bookmarkStart w:id="8" w:name="_Toc325582571"/>
      <w:r>
        <w:rPr>
          <w:rFonts w:hint="eastAsia" w:ascii="Times New Roman" w:hAnsi="宋体" w:cs="仿宋"/>
          <w:b/>
          <w:color w:val="auto"/>
          <w:sz w:val="24"/>
          <w:szCs w:val="32"/>
          <w:highlight w:val="none"/>
        </w:rPr>
        <w:t xml:space="preserve">项目概况： </w:t>
      </w:r>
    </w:p>
    <w:p>
      <w:pPr>
        <w:spacing w:line="360" w:lineRule="auto"/>
        <w:ind w:firstLine="720" w:firstLineChars="300"/>
        <w:rPr>
          <w:rFonts w:ascii="Times New Roman" w:hAnsi="宋体" w:cs="仿宋"/>
          <w:bCs/>
          <w:color w:val="auto"/>
          <w:sz w:val="24"/>
          <w:szCs w:val="32"/>
          <w:highlight w:val="none"/>
        </w:rPr>
      </w:pPr>
      <w:r>
        <w:rPr>
          <w:rFonts w:hint="eastAsia" w:ascii="Times New Roman" w:hAnsi="宋体" w:cs="仿宋"/>
          <w:bCs/>
          <w:color w:val="auto"/>
          <w:sz w:val="24"/>
          <w:szCs w:val="32"/>
          <w:highlight w:val="none"/>
        </w:rPr>
        <w:t>菏泽职业学院标准化考点建设项目的潜在供应商应在赢标电子招标采购交易平台(菏泽专)</w:t>
      </w:r>
      <w:r>
        <w:rPr>
          <w:rFonts w:hint="eastAsia" w:ascii="宋体" w:hAnsi="宋体" w:eastAsia="宋体" w:cs="宋体"/>
          <w:b w:val="0"/>
          <w:bCs w:val="0"/>
          <w:caps w:val="0"/>
          <w:sz w:val="24"/>
          <w:szCs w:val="24"/>
          <w:lang w:val="en-US" w:eastAsia="zh-CN" w:bidi="ar-SA"/>
        </w:rPr>
        <w:t>(http://hz.fzbidding.com)</w:t>
      </w:r>
      <w:r>
        <w:rPr>
          <w:rFonts w:hint="eastAsia" w:ascii="Times New Roman" w:hAnsi="宋体" w:cs="仿宋"/>
          <w:bCs/>
          <w:color w:val="auto"/>
          <w:sz w:val="24"/>
          <w:szCs w:val="32"/>
          <w:highlight w:val="none"/>
        </w:rPr>
        <w:t>获取磋商文件，并于</w:t>
      </w:r>
      <w:r>
        <w:rPr>
          <w:rFonts w:hint="eastAsia" w:hAnsi="宋体"/>
          <w:color w:val="auto"/>
          <w:kern w:val="21"/>
          <w:sz w:val="24"/>
          <w:szCs w:val="24"/>
          <w:highlight w:val="none"/>
          <w:lang w:eastAsia="zh-CN"/>
        </w:rPr>
        <w:t>2023</w:t>
      </w:r>
      <w:r>
        <w:rPr>
          <w:rFonts w:hint="eastAsia" w:hAnsi="宋体"/>
          <w:color w:val="auto"/>
          <w:kern w:val="21"/>
          <w:sz w:val="24"/>
          <w:szCs w:val="24"/>
          <w:highlight w:val="none"/>
        </w:rPr>
        <w:t>年</w:t>
      </w:r>
      <w:r>
        <w:rPr>
          <w:rFonts w:hint="eastAsia" w:hAnsi="宋体"/>
          <w:color w:val="auto"/>
          <w:kern w:val="21"/>
          <w:sz w:val="24"/>
          <w:szCs w:val="24"/>
          <w:highlight w:val="none"/>
          <w:lang w:val="en-US" w:eastAsia="zh-CN"/>
        </w:rPr>
        <w:t>4</w:t>
      </w:r>
      <w:r>
        <w:rPr>
          <w:rFonts w:hint="eastAsia" w:hAnsi="宋体"/>
          <w:color w:val="auto"/>
          <w:kern w:val="21"/>
          <w:sz w:val="24"/>
          <w:szCs w:val="24"/>
          <w:highlight w:val="none"/>
        </w:rPr>
        <w:t>月</w:t>
      </w:r>
      <w:r>
        <w:rPr>
          <w:rFonts w:hint="eastAsia" w:hAnsi="宋体"/>
          <w:color w:val="auto"/>
          <w:kern w:val="21"/>
          <w:sz w:val="24"/>
          <w:szCs w:val="24"/>
          <w:highlight w:val="none"/>
          <w:lang w:val="en-US" w:eastAsia="zh-CN"/>
        </w:rPr>
        <w:t>18</w:t>
      </w:r>
      <w:r>
        <w:rPr>
          <w:rFonts w:hint="eastAsia" w:hAnsi="宋体"/>
          <w:color w:val="auto"/>
          <w:kern w:val="21"/>
          <w:sz w:val="24"/>
          <w:szCs w:val="24"/>
          <w:highlight w:val="none"/>
        </w:rPr>
        <w:t>日</w:t>
      </w:r>
      <w:r>
        <w:rPr>
          <w:rFonts w:hint="eastAsia" w:hAnsi="宋体"/>
          <w:color w:val="auto"/>
          <w:kern w:val="21"/>
          <w:sz w:val="24"/>
          <w:szCs w:val="24"/>
          <w:highlight w:val="none"/>
          <w:lang w:val="en-US" w:eastAsia="zh-CN"/>
        </w:rPr>
        <w:t>14</w:t>
      </w:r>
      <w:r>
        <w:rPr>
          <w:rFonts w:hint="eastAsia" w:hAnsi="宋体"/>
          <w:color w:val="auto"/>
          <w:kern w:val="21"/>
          <w:sz w:val="24"/>
          <w:szCs w:val="24"/>
          <w:highlight w:val="none"/>
        </w:rPr>
        <w:t>时</w:t>
      </w:r>
      <w:r>
        <w:rPr>
          <w:rFonts w:hint="eastAsia" w:hAnsi="宋体"/>
          <w:color w:val="auto"/>
          <w:kern w:val="21"/>
          <w:sz w:val="24"/>
          <w:szCs w:val="24"/>
          <w:highlight w:val="none"/>
          <w:lang w:val="en-US" w:eastAsia="zh-CN"/>
        </w:rPr>
        <w:t>00</w:t>
      </w:r>
      <w:r>
        <w:rPr>
          <w:rFonts w:hint="eastAsia" w:hAnsi="宋体"/>
          <w:color w:val="auto"/>
          <w:kern w:val="21"/>
          <w:sz w:val="24"/>
          <w:szCs w:val="24"/>
          <w:highlight w:val="none"/>
        </w:rPr>
        <w:t>分</w:t>
      </w:r>
      <w:r>
        <w:rPr>
          <w:rFonts w:hint="eastAsia" w:ascii="Times New Roman" w:hAnsi="宋体" w:cs="仿宋"/>
          <w:bCs/>
          <w:color w:val="auto"/>
          <w:sz w:val="24"/>
          <w:szCs w:val="32"/>
          <w:highlight w:val="none"/>
        </w:rPr>
        <w:t>（北京时间）前递交响应文件。</w:t>
      </w:r>
    </w:p>
    <w:p>
      <w:pPr>
        <w:spacing w:line="360" w:lineRule="auto"/>
        <w:rPr>
          <w:rFonts w:ascii="Times New Roman" w:hAnsi="宋体" w:cs="仿宋"/>
          <w:b/>
          <w:color w:val="auto"/>
          <w:sz w:val="24"/>
          <w:szCs w:val="32"/>
          <w:highlight w:val="none"/>
        </w:rPr>
      </w:pPr>
      <w:r>
        <w:rPr>
          <w:rFonts w:hint="eastAsia" w:ascii="Times New Roman" w:hAnsi="宋体" w:cs="仿宋"/>
          <w:b/>
          <w:color w:val="auto"/>
          <w:sz w:val="24"/>
          <w:szCs w:val="32"/>
          <w:highlight w:val="none"/>
        </w:rPr>
        <w:t>一、项目基本情况：</w:t>
      </w:r>
    </w:p>
    <w:p>
      <w:pPr>
        <w:spacing w:line="360" w:lineRule="auto"/>
        <w:ind w:firstLine="240" w:firstLineChars="100"/>
        <w:rPr>
          <w:rFonts w:hint="eastAsia" w:ascii="Times New Roman" w:hAnsi="宋体" w:eastAsia="宋体" w:cs="仿宋"/>
          <w:bCs/>
          <w:color w:val="auto"/>
          <w:sz w:val="24"/>
          <w:szCs w:val="32"/>
          <w:highlight w:val="none"/>
          <w:lang w:eastAsia="zh-CN"/>
        </w:rPr>
      </w:pPr>
      <w:r>
        <w:rPr>
          <w:rFonts w:hint="eastAsia" w:ascii="Times New Roman" w:hAnsi="宋体" w:cs="仿宋"/>
          <w:bCs/>
          <w:color w:val="auto"/>
          <w:sz w:val="24"/>
          <w:szCs w:val="32"/>
          <w:highlight w:val="none"/>
        </w:rPr>
        <w:t>项目编号：SDGP371700000202302000081</w:t>
      </w:r>
    </w:p>
    <w:p>
      <w:pPr>
        <w:spacing w:line="360" w:lineRule="auto"/>
        <w:ind w:firstLine="240" w:firstLineChars="100"/>
        <w:rPr>
          <w:rFonts w:hint="eastAsia" w:hAnsi="宋体" w:eastAsia="宋体" w:cs="仿宋"/>
          <w:bCs/>
          <w:color w:val="auto"/>
          <w:sz w:val="24"/>
          <w:szCs w:val="32"/>
          <w:highlight w:val="none"/>
          <w:lang w:eastAsia="zh-CN"/>
        </w:rPr>
      </w:pPr>
      <w:r>
        <w:rPr>
          <w:rFonts w:hint="eastAsia" w:hAnsi="宋体" w:cs="仿宋"/>
          <w:bCs/>
          <w:color w:val="auto"/>
          <w:sz w:val="24"/>
          <w:szCs w:val="32"/>
          <w:highlight w:val="none"/>
        </w:rPr>
        <w:t>项目名称：</w:t>
      </w:r>
      <w:r>
        <w:rPr>
          <w:rFonts w:hint="eastAsia" w:ascii="Times New Roman" w:hAnsi="宋体" w:cs="仿宋"/>
          <w:bCs/>
          <w:color w:val="auto"/>
          <w:sz w:val="24"/>
          <w:szCs w:val="32"/>
          <w:highlight w:val="none"/>
          <w:lang w:eastAsia="zh-CN"/>
        </w:rPr>
        <w:t>菏泽职业学院标准化考点建设项目</w:t>
      </w:r>
    </w:p>
    <w:p>
      <w:pPr>
        <w:pStyle w:val="2"/>
        <w:spacing w:line="360" w:lineRule="auto"/>
        <w:ind w:firstLine="240" w:firstLineChars="100"/>
        <w:rPr>
          <w:rFonts w:ascii="Times New Roman" w:cs="Times New Roman"/>
          <w:b w:val="0"/>
          <w:bCs w:val="0"/>
          <w:color w:val="auto"/>
          <w:kern w:val="21"/>
          <w:sz w:val="24"/>
          <w:szCs w:val="24"/>
          <w:highlight w:val="none"/>
        </w:rPr>
      </w:pPr>
      <w:r>
        <w:rPr>
          <w:rFonts w:hint="eastAsia" w:ascii="Times New Roman" w:cs="Times New Roman"/>
          <w:b w:val="0"/>
          <w:bCs w:val="0"/>
          <w:color w:val="auto"/>
          <w:kern w:val="21"/>
          <w:sz w:val="24"/>
          <w:szCs w:val="24"/>
          <w:highlight w:val="none"/>
        </w:rPr>
        <w:t>预算金额：</w:t>
      </w:r>
      <w:r>
        <w:rPr>
          <w:rFonts w:hint="eastAsia" w:ascii="Times New Roman" w:cs="Times New Roman"/>
          <w:b w:val="0"/>
          <w:bCs w:val="0"/>
          <w:color w:val="auto"/>
          <w:kern w:val="21"/>
          <w:sz w:val="24"/>
          <w:szCs w:val="24"/>
          <w:highlight w:val="none"/>
          <w:lang w:val="en-US" w:eastAsia="zh-CN"/>
        </w:rPr>
        <w:t>117.28</w:t>
      </w:r>
      <w:r>
        <w:rPr>
          <w:rFonts w:hint="eastAsia" w:ascii="Times New Roman" w:cs="Times New Roman"/>
          <w:b w:val="0"/>
          <w:bCs w:val="0"/>
          <w:color w:val="auto"/>
          <w:kern w:val="21"/>
          <w:sz w:val="24"/>
          <w:szCs w:val="24"/>
          <w:highlight w:val="none"/>
        </w:rPr>
        <w:t>万元</w:t>
      </w:r>
    </w:p>
    <w:p>
      <w:pPr>
        <w:spacing w:line="360" w:lineRule="auto"/>
        <w:ind w:firstLine="240" w:firstLineChars="100"/>
        <w:rPr>
          <w:rFonts w:ascii="Times New Roman" w:hAnsi="宋体" w:cs="Times New Roman"/>
          <w:color w:val="auto"/>
          <w:kern w:val="21"/>
          <w:sz w:val="24"/>
          <w:szCs w:val="24"/>
          <w:highlight w:val="none"/>
        </w:rPr>
      </w:pPr>
      <w:r>
        <w:rPr>
          <w:rFonts w:hint="eastAsia" w:ascii="Times New Roman" w:hAnsi="宋体" w:cs="Times New Roman"/>
          <w:color w:val="auto"/>
          <w:kern w:val="21"/>
          <w:sz w:val="24"/>
          <w:szCs w:val="24"/>
          <w:highlight w:val="none"/>
        </w:rPr>
        <w:t>最高限价：</w:t>
      </w:r>
      <w:r>
        <w:rPr>
          <w:rFonts w:hint="eastAsia" w:ascii="Times New Roman" w:hAnsi="宋体" w:cs="Times New Roman"/>
          <w:color w:val="auto"/>
          <w:kern w:val="21"/>
          <w:sz w:val="24"/>
          <w:szCs w:val="24"/>
          <w:highlight w:val="none"/>
          <w:lang w:val="en-US" w:eastAsia="zh-CN"/>
        </w:rPr>
        <w:t>117.28万元</w:t>
      </w:r>
    </w:p>
    <w:p>
      <w:pPr>
        <w:pStyle w:val="2"/>
        <w:spacing w:line="360" w:lineRule="auto"/>
        <w:rPr>
          <w:rFonts w:ascii="Times New Roman" w:cs="Times New Roman"/>
          <w:color w:val="auto"/>
          <w:kern w:val="21"/>
          <w:sz w:val="24"/>
          <w:szCs w:val="24"/>
          <w:highlight w:val="none"/>
        </w:rPr>
      </w:pPr>
      <w:r>
        <w:rPr>
          <w:rFonts w:hint="eastAsia" w:ascii="Times New Roman" w:cs="Times New Roman"/>
          <w:color w:val="auto"/>
          <w:kern w:val="21"/>
          <w:sz w:val="24"/>
          <w:szCs w:val="24"/>
          <w:highlight w:val="none"/>
        </w:rPr>
        <w:t>采购需求：</w:t>
      </w:r>
    </w:p>
    <w:tbl>
      <w:tblPr>
        <w:tblStyle w:val="3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4"/>
        <w:gridCol w:w="1320"/>
        <w:gridCol w:w="2040"/>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trPr>
        <w:tc>
          <w:tcPr>
            <w:tcW w:w="817" w:type="dxa"/>
            <w:vAlign w:val="center"/>
          </w:tcPr>
          <w:p>
            <w:pPr>
              <w:snapToGrid w:val="0"/>
              <w:spacing w:line="360" w:lineRule="auto"/>
              <w:jc w:val="center"/>
              <w:rPr>
                <w:rFonts w:hAnsi="宋体" w:cs="仿宋"/>
                <w:color w:val="auto"/>
                <w:sz w:val="24"/>
                <w:highlight w:val="none"/>
              </w:rPr>
            </w:pPr>
            <w:r>
              <w:rPr>
                <w:rFonts w:hint="eastAsia" w:hAnsi="宋体" w:cs="仿宋"/>
                <w:color w:val="auto"/>
                <w:sz w:val="24"/>
                <w:highlight w:val="none"/>
              </w:rPr>
              <w:t>标的</w:t>
            </w:r>
          </w:p>
        </w:tc>
        <w:tc>
          <w:tcPr>
            <w:tcW w:w="3104" w:type="dxa"/>
            <w:vAlign w:val="center"/>
          </w:tcPr>
          <w:p>
            <w:pPr>
              <w:snapToGrid w:val="0"/>
              <w:spacing w:line="360" w:lineRule="auto"/>
              <w:ind w:firstLine="480" w:firstLineChars="200"/>
              <w:rPr>
                <w:rFonts w:hAnsi="宋体" w:cs="仿宋"/>
                <w:color w:val="auto"/>
                <w:sz w:val="24"/>
                <w:highlight w:val="none"/>
              </w:rPr>
            </w:pPr>
            <w:r>
              <w:rPr>
                <w:rFonts w:hint="eastAsia" w:hAnsi="宋体" w:cs="仿宋"/>
                <w:color w:val="auto"/>
                <w:sz w:val="24"/>
                <w:highlight w:val="none"/>
              </w:rPr>
              <w:t>标的名称</w:t>
            </w:r>
          </w:p>
        </w:tc>
        <w:tc>
          <w:tcPr>
            <w:tcW w:w="1320" w:type="dxa"/>
            <w:vAlign w:val="center"/>
          </w:tcPr>
          <w:p>
            <w:pPr>
              <w:snapToGrid w:val="0"/>
              <w:spacing w:line="360" w:lineRule="auto"/>
              <w:rPr>
                <w:rFonts w:hAnsi="宋体" w:cs="仿宋"/>
                <w:color w:val="auto"/>
                <w:sz w:val="24"/>
                <w:highlight w:val="none"/>
              </w:rPr>
            </w:pPr>
            <w:r>
              <w:rPr>
                <w:rFonts w:hint="eastAsia" w:hAnsi="宋体" w:cs="仿宋"/>
                <w:color w:val="auto"/>
                <w:sz w:val="24"/>
                <w:highlight w:val="none"/>
              </w:rPr>
              <w:t>数量</w:t>
            </w:r>
          </w:p>
        </w:tc>
        <w:tc>
          <w:tcPr>
            <w:tcW w:w="2040" w:type="dxa"/>
            <w:vAlign w:val="center"/>
          </w:tcPr>
          <w:p>
            <w:pPr>
              <w:widowControl/>
              <w:spacing w:line="240" w:lineRule="auto"/>
              <w:jc w:val="left"/>
              <w:rPr>
                <w:rFonts w:hAnsi="宋体" w:cs="仿宋"/>
                <w:color w:val="auto"/>
                <w:sz w:val="24"/>
                <w:highlight w:val="none"/>
              </w:rPr>
            </w:pPr>
            <w:r>
              <w:rPr>
                <w:rFonts w:hint="eastAsia" w:hAnsi="宋体"/>
                <w:color w:val="auto"/>
                <w:kern w:val="0"/>
                <w:sz w:val="24"/>
                <w:szCs w:val="24"/>
                <w:highlight w:val="none"/>
                <w:lang w:bidi="ar"/>
              </w:rPr>
              <w:t>简要技术需求或服务要求</w:t>
            </w:r>
          </w:p>
        </w:tc>
        <w:tc>
          <w:tcPr>
            <w:tcW w:w="2039" w:type="dxa"/>
            <w:vAlign w:val="center"/>
          </w:tcPr>
          <w:p>
            <w:pPr>
              <w:widowControl/>
              <w:spacing w:line="240" w:lineRule="auto"/>
              <w:jc w:val="left"/>
              <w:rPr>
                <w:rFonts w:hAnsi="宋体" w:cs="仿宋"/>
                <w:color w:val="auto"/>
                <w:sz w:val="24"/>
                <w:highlight w:val="none"/>
              </w:rPr>
            </w:pPr>
            <w:r>
              <w:rPr>
                <w:rFonts w:hint="eastAsia" w:hAnsi="宋体"/>
                <w:color w:val="auto"/>
                <w:kern w:val="0"/>
                <w:sz w:val="24"/>
                <w:szCs w:val="24"/>
                <w:highlight w:val="none"/>
                <w:lang w:bidi="ar"/>
              </w:rPr>
              <w:t xml:space="preserve">本包预算金额（单位：万元）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17" w:type="dxa"/>
            <w:vAlign w:val="center"/>
          </w:tcPr>
          <w:p>
            <w:pPr>
              <w:snapToGrid w:val="0"/>
              <w:spacing w:line="360" w:lineRule="auto"/>
              <w:jc w:val="center"/>
              <w:rPr>
                <w:rFonts w:hAnsi="宋体" w:cs="仿宋"/>
                <w:color w:val="auto"/>
                <w:sz w:val="24"/>
                <w:highlight w:val="none"/>
              </w:rPr>
            </w:pPr>
            <w:r>
              <w:rPr>
                <w:rFonts w:hint="eastAsia" w:hAnsi="宋体" w:cs="仿宋"/>
                <w:color w:val="auto"/>
                <w:sz w:val="24"/>
                <w:highlight w:val="none"/>
              </w:rPr>
              <w:t>A</w:t>
            </w:r>
          </w:p>
        </w:tc>
        <w:tc>
          <w:tcPr>
            <w:tcW w:w="3104" w:type="dxa"/>
            <w:vAlign w:val="center"/>
          </w:tcPr>
          <w:p>
            <w:pPr>
              <w:widowControl/>
              <w:spacing w:line="360" w:lineRule="auto"/>
              <w:jc w:val="center"/>
              <w:textAlignment w:val="center"/>
              <w:rPr>
                <w:rFonts w:hAnsi="宋体"/>
                <w:color w:val="auto"/>
                <w:kern w:val="0"/>
                <w:sz w:val="24"/>
                <w:szCs w:val="24"/>
                <w:highlight w:val="none"/>
              </w:rPr>
            </w:pPr>
            <w:r>
              <w:rPr>
                <w:rFonts w:hint="eastAsia" w:ascii="Times New Roman" w:hAnsi="宋体" w:cs="仿宋"/>
                <w:bCs/>
                <w:color w:val="auto"/>
                <w:sz w:val="24"/>
                <w:szCs w:val="32"/>
                <w:highlight w:val="none"/>
              </w:rPr>
              <w:t>标准化考点建设</w:t>
            </w:r>
          </w:p>
        </w:tc>
        <w:tc>
          <w:tcPr>
            <w:tcW w:w="1320" w:type="dxa"/>
            <w:vAlign w:val="center"/>
          </w:tcPr>
          <w:p>
            <w:pPr>
              <w:widowControl/>
              <w:spacing w:line="360" w:lineRule="auto"/>
              <w:jc w:val="center"/>
              <w:textAlignment w:val="center"/>
              <w:rPr>
                <w:rFonts w:hint="eastAsia" w:eastAsia="宋体"/>
                <w:color w:val="auto"/>
                <w:highlight w:val="none"/>
                <w:lang w:eastAsia="zh-CN"/>
              </w:rPr>
            </w:pPr>
            <w:r>
              <w:rPr>
                <w:rFonts w:hint="eastAsia" w:hAnsi="宋体"/>
                <w:color w:val="auto"/>
                <w:kern w:val="0"/>
                <w:sz w:val="24"/>
                <w:szCs w:val="24"/>
                <w:highlight w:val="none"/>
                <w:lang w:bidi="ar"/>
              </w:rPr>
              <w:t>1</w:t>
            </w:r>
            <w:r>
              <w:rPr>
                <w:rFonts w:hint="eastAsia" w:hAnsi="宋体"/>
                <w:color w:val="auto"/>
                <w:kern w:val="0"/>
                <w:sz w:val="24"/>
                <w:szCs w:val="24"/>
                <w:highlight w:val="none"/>
                <w:lang w:eastAsia="zh-CN" w:bidi="ar"/>
              </w:rPr>
              <w:t>宗</w:t>
            </w:r>
          </w:p>
        </w:tc>
        <w:tc>
          <w:tcPr>
            <w:tcW w:w="2040" w:type="dxa"/>
            <w:vAlign w:val="center"/>
          </w:tcPr>
          <w:p>
            <w:pPr>
              <w:widowControl/>
              <w:spacing w:line="360" w:lineRule="auto"/>
              <w:jc w:val="left"/>
              <w:rPr>
                <w:color w:val="auto"/>
                <w:highlight w:val="none"/>
              </w:rPr>
            </w:pPr>
            <w:r>
              <w:rPr>
                <w:rFonts w:hint="eastAsia" w:hAnsi="宋体"/>
                <w:color w:val="auto"/>
                <w:kern w:val="0"/>
                <w:sz w:val="24"/>
                <w:szCs w:val="24"/>
                <w:highlight w:val="none"/>
                <w:lang w:bidi="ar"/>
              </w:rPr>
              <w:t xml:space="preserve">详见附件 </w:t>
            </w:r>
          </w:p>
        </w:tc>
        <w:tc>
          <w:tcPr>
            <w:tcW w:w="2039" w:type="dxa"/>
            <w:vAlign w:val="center"/>
          </w:tcPr>
          <w:p>
            <w:pPr>
              <w:snapToGrid w:val="0"/>
              <w:spacing w:line="360" w:lineRule="auto"/>
              <w:jc w:val="center"/>
              <w:rPr>
                <w:rFonts w:hint="default" w:hAnsi="宋体" w:eastAsia="宋体" w:cs="仿宋"/>
                <w:color w:val="auto"/>
                <w:sz w:val="24"/>
                <w:highlight w:val="none"/>
                <w:lang w:val="en-US" w:eastAsia="zh-CN"/>
              </w:rPr>
            </w:pPr>
            <w:r>
              <w:rPr>
                <w:rFonts w:hint="eastAsia" w:hAnsi="宋体" w:cs="仿宋"/>
                <w:color w:val="auto"/>
                <w:sz w:val="24"/>
                <w:highlight w:val="none"/>
                <w:lang w:val="en-US" w:eastAsia="zh-CN"/>
              </w:rPr>
              <w:t>117.28</w:t>
            </w:r>
          </w:p>
        </w:tc>
      </w:tr>
    </w:tbl>
    <w:p>
      <w:pPr>
        <w:widowControl/>
        <w:spacing w:line="360" w:lineRule="auto"/>
        <w:textAlignment w:val="center"/>
        <w:rPr>
          <w:rFonts w:ascii="Times New Roman" w:hAnsi="宋体" w:cs="Times New Roman"/>
          <w:color w:val="auto"/>
          <w:kern w:val="21"/>
          <w:sz w:val="24"/>
          <w:highlight w:val="none"/>
        </w:rPr>
      </w:pPr>
      <w:r>
        <w:rPr>
          <w:rFonts w:hint="eastAsia" w:ascii="Times New Roman" w:hAnsi="宋体" w:cs="Times New Roman"/>
          <w:color w:val="auto"/>
          <w:kern w:val="21"/>
          <w:sz w:val="24"/>
          <w:highlight w:val="none"/>
        </w:rPr>
        <w:t>合同履行期限：详见竞争性磋商文件；</w:t>
      </w:r>
    </w:p>
    <w:p>
      <w:pPr>
        <w:numPr>
          <w:ilvl w:val="0"/>
          <w:numId w:val="2"/>
        </w:numPr>
        <w:spacing w:line="360" w:lineRule="auto"/>
        <w:rPr>
          <w:rFonts w:hAnsi="宋体" w:cs="仿宋"/>
          <w:b/>
          <w:color w:val="auto"/>
          <w:sz w:val="24"/>
          <w:szCs w:val="32"/>
          <w:highlight w:val="none"/>
        </w:rPr>
      </w:pPr>
      <w:r>
        <w:rPr>
          <w:rFonts w:hint="eastAsia" w:hAnsi="宋体" w:cs="仿宋"/>
          <w:b/>
          <w:color w:val="auto"/>
          <w:sz w:val="24"/>
          <w:szCs w:val="32"/>
          <w:highlight w:val="none"/>
        </w:rPr>
        <w:t xml:space="preserve">申请人的资格要求： </w:t>
      </w:r>
    </w:p>
    <w:p>
      <w:pPr>
        <w:widowControl/>
        <w:spacing w:line="360" w:lineRule="auto"/>
        <w:ind w:firstLine="480" w:firstLineChars="200"/>
        <w:jc w:val="left"/>
        <w:textAlignment w:val="center"/>
        <w:rPr>
          <w:rFonts w:hAnsi="宋体" w:cs="Times New Roman"/>
          <w:color w:val="auto"/>
          <w:kern w:val="0"/>
          <w:sz w:val="24"/>
          <w:highlight w:val="none"/>
        </w:rPr>
      </w:pPr>
      <w:r>
        <w:rPr>
          <w:rFonts w:hint="eastAsia" w:hAnsi="宋体" w:cs="Times New Roman"/>
          <w:color w:val="auto"/>
          <w:kern w:val="0"/>
          <w:sz w:val="24"/>
          <w:highlight w:val="none"/>
        </w:rPr>
        <w:t>1.供应商符合《中华人民共和国政府采购法》第二十二条的规定；</w:t>
      </w:r>
    </w:p>
    <w:p>
      <w:pPr>
        <w:widowControl/>
        <w:spacing w:line="360" w:lineRule="auto"/>
        <w:ind w:firstLine="480" w:firstLineChars="200"/>
        <w:jc w:val="left"/>
        <w:textAlignment w:val="center"/>
        <w:rPr>
          <w:rFonts w:hAnsi="宋体" w:cs="Times New Roman"/>
          <w:color w:val="auto"/>
          <w:kern w:val="0"/>
          <w:sz w:val="24"/>
          <w:highlight w:val="none"/>
        </w:rPr>
      </w:pPr>
      <w:r>
        <w:rPr>
          <w:rFonts w:hint="eastAsia" w:hAnsi="宋体" w:cs="Times New Roman"/>
          <w:color w:val="auto"/>
          <w:kern w:val="0"/>
          <w:sz w:val="24"/>
          <w:highlight w:val="none"/>
        </w:rPr>
        <w:t>2.具有独立承担民事责任的能力，并在人员、设备、资金等方面具有承担本项目能力；</w:t>
      </w:r>
    </w:p>
    <w:p>
      <w:pPr>
        <w:widowControl/>
        <w:spacing w:line="360" w:lineRule="auto"/>
        <w:ind w:firstLine="480" w:firstLineChars="200"/>
        <w:jc w:val="left"/>
        <w:textAlignment w:val="center"/>
        <w:rPr>
          <w:rFonts w:hAnsi="宋体" w:cs="Times New Roman"/>
          <w:color w:val="auto"/>
          <w:kern w:val="0"/>
          <w:sz w:val="24"/>
          <w:highlight w:val="none"/>
        </w:rPr>
      </w:pPr>
      <w:r>
        <w:rPr>
          <w:rFonts w:hint="eastAsia" w:hAnsi="宋体" w:cs="Times New Roman"/>
          <w:color w:val="auto"/>
          <w:kern w:val="0"/>
          <w:sz w:val="24"/>
          <w:highlight w:val="none"/>
        </w:rPr>
        <w:t>3.</w:t>
      </w:r>
      <w:r>
        <w:rPr>
          <w:rFonts w:hint="eastAsia" w:hAnsi="宋体"/>
          <w:color w:val="auto"/>
          <w:spacing w:val="-5"/>
          <w:sz w:val="24"/>
          <w:szCs w:val="24"/>
          <w:highlight w:val="none"/>
        </w:rPr>
        <w:t>参加政府采购活动前3年内在经营活动中没有重大违法记录；</w:t>
      </w:r>
    </w:p>
    <w:p>
      <w:pPr>
        <w:widowControl/>
        <w:spacing w:line="360" w:lineRule="auto"/>
        <w:ind w:firstLine="480" w:firstLineChars="200"/>
        <w:jc w:val="left"/>
        <w:textAlignment w:val="center"/>
        <w:rPr>
          <w:rFonts w:hAnsi="宋体" w:cs="Times New Roman"/>
          <w:color w:val="auto"/>
          <w:kern w:val="0"/>
          <w:sz w:val="24"/>
          <w:highlight w:val="none"/>
        </w:rPr>
      </w:pPr>
      <w:r>
        <w:rPr>
          <w:rFonts w:hint="eastAsia" w:hAnsi="宋体" w:cs="Times New Roman"/>
          <w:color w:val="auto"/>
          <w:kern w:val="0"/>
          <w:sz w:val="24"/>
          <w:highlight w:val="none"/>
          <w:lang w:val="en-US" w:eastAsia="zh-CN"/>
        </w:rPr>
        <w:t>4</w:t>
      </w:r>
      <w:r>
        <w:rPr>
          <w:rFonts w:hint="eastAsia" w:hAnsi="宋体" w:cs="Times New Roman"/>
          <w:color w:val="auto"/>
          <w:kern w:val="0"/>
          <w:sz w:val="24"/>
          <w:highlight w:val="none"/>
        </w:rPr>
        <w:t>.通过“信用中国”网站（www.creditchina.gov.cn）或各级信用信息平台查询，未被列入失信被执行人、重大税收违法案件当事人记录名单；</w:t>
      </w:r>
    </w:p>
    <w:p>
      <w:pPr>
        <w:widowControl/>
        <w:spacing w:line="360" w:lineRule="auto"/>
        <w:ind w:firstLine="480" w:firstLineChars="200"/>
        <w:jc w:val="left"/>
        <w:textAlignment w:val="center"/>
        <w:rPr>
          <w:rFonts w:hAnsi="宋体" w:cs="Times New Roman"/>
          <w:color w:val="auto"/>
          <w:kern w:val="0"/>
          <w:sz w:val="24"/>
          <w:highlight w:val="none"/>
        </w:rPr>
      </w:pPr>
      <w:r>
        <w:rPr>
          <w:rFonts w:hint="eastAsia" w:hAnsi="宋体" w:cs="Times New Roman"/>
          <w:color w:val="auto"/>
          <w:kern w:val="0"/>
          <w:sz w:val="24"/>
          <w:highlight w:val="none"/>
          <w:lang w:val="en-US" w:eastAsia="zh-CN"/>
        </w:rPr>
        <w:t>5</w:t>
      </w:r>
      <w:r>
        <w:rPr>
          <w:rFonts w:hint="eastAsia" w:hAnsi="宋体" w:cs="Times New Roman"/>
          <w:color w:val="auto"/>
          <w:kern w:val="0"/>
          <w:sz w:val="24"/>
          <w:highlight w:val="none"/>
        </w:rPr>
        <w:t>.本项目不接受联合体投标。</w:t>
      </w:r>
    </w:p>
    <w:p>
      <w:pPr>
        <w:pStyle w:val="13"/>
        <w:spacing w:line="360" w:lineRule="auto"/>
        <w:ind w:firstLine="480" w:firstLineChars="200"/>
        <w:rPr>
          <w:color w:val="auto"/>
          <w:highlight w:val="none"/>
        </w:rPr>
      </w:pPr>
      <w:r>
        <w:rPr>
          <w:rFonts w:hint="eastAsia" w:hAnsi="宋体"/>
          <w:color w:val="auto"/>
          <w:kern w:val="0"/>
          <w:sz w:val="24"/>
          <w:highlight w:val="none"/>
          <w:lang w:val="en-US" w:eastAsia="zh-CN"/>
        </w:rPr>
        <w:t>6</w:t>
      </w:r>
      <w:r>
        <w:rPr>
          <w:rFonts w:hint="eastAsia" w:hAnsi="宋体"/>
          <w:color w:val="auto"/>
          <w:kern w:val="0"/>
          <w:sz w:val="24"/>
          <w:highlight w:val="none"/>
        </w:rPr>
        <w:t>.资格审查方式：资格后审。</w:t>
      </w:r>
    </w:p>
    <w:p>
      <w:pPr>
        <w:pStyle w:val="13"/>
        <w:spacing w:after="120" w:line="360" w:lineRule="auto"/>
        <w:rPr>
          <w:rFonts w:ascii="Times New Roman" w:hAnsi="宋体" w:cs="仿宋"/>
          <w:b/>
          <w:color w:val="auto"/>
          <w:sz w:val="24"/>
          <w:highlight w:val="none"/>
        </w:rPr>
      </w:pPr>
      <w:r>
        <w:rPr>
          <w:rFonts w:hint="eastAsia" w:ascii="Times New Roman" w:hAnsi="宋体" w:cs="仿宋"/>
          <w:b/>
          <w:color w:val="auto"/>
          <w:sz w:val="24"/>
          <w:highlight w:val="none"/>
        </w:rPr>
        <w:t>三、获取磋商文件：</w:t>
      </w:r>
    </w:p>
    <w:p>
      <w:pPr>
        <w:widowControl/>
        <w:spacing w:line="360" w:lineRule="auto"/>
        <w:ind w:firstLine="480" w:firstLineChars="200"/>
        <w:jc w:val="left"/>
        <w:textAlignment w:val="center"/>
        <w:rPr>
          <w:rFonts w:hAnsi="宋体"/>
          <w:color w:val="auto"/>
          <w:kern w:val="0"/>
          <w:sz w:val="24"/>
          <w:highlight w:val="none"/>
        </w:rPr>
      </w:pPr>
      <w:r>
        <w:rPr>
          <w:rFonts w:hint="eastAsia" w:hAnsi="宋体"/>
          <w:color w:val="auto"/>
          <w:kern w:val="0"/>
          <w:sz w:val="24"/>
          <w:highlight w:val="none"/>
        </w:rPr>
        <w:t>1、时间：</w:t>
      </w:r>
      <w:r>
        <w:rPr>
          <w:rFonts w:hint="eastAsia" w:hAnsi="宋体"/>
          <w:color w:val="auto"/>
          <w:kern w:val="0"/>
          <w:sz w:val="24"/>
          <w:highlight w:val="none"/>
          <w:u w:val="single"/>
          <w:lang w:eastAsia="zh-CN"/>
        </w:rPr>
        <w:t>2023</w:t>
      </w:r>
      <w:r>
        <w:rPr>
          <w:rFonts w:hint="eastAsia" w:hAnsi="宋体"/>
          <w:color w:val="auto"/>
          <w:kern w:val="0"/>
          <w:sz w:val="24"/>
          <w:highlight w:val="none"/>
        </w:rPr>
        <w:t>年</w:t>
      </w:r>
      <w:r>
        <w:rPr>
          <w:rFonts w:hint="eastAsia" w:hAnsi="宋体"/>
          <w:color w:val="auto"/>
          <w:kern w:val="0"/>
          <w:sz w:val="24"/>
          <w:highlight w:val="none"/>
          <w:u w:val="single"/>
          <w:lang w:val="en-US" w:eastAsia="zh-CN"/>
        </w:rPr>
        <w:t>4</w:t>
      </w:r>
      <w:r>
        <w:rPr>
          <w:rFonts w:hint="eastAsia" w:hAnsi="宋体"/>
          <w:color w:val="auto"/>
          <w:kern w:val="0"/>
          <w:sz w:val="24"/>
          <w:highlight w:val="none"/>
        </w:rPr>
        <w:t>月</w:t>
      </w:r>
      <w:r>
        <w:rPr>
          <w:rFonts w:hint="eastAsia" w:hAnsi="宋体"/>
          <w:color w:val="auto"/>
          <w:kern w:val="0"/>
          <w:sz w:val="24"/>
          <w:highlight w:val="none"/>
          <w:u w:val="single"/>
          <w:lang w:val="en-US" w:eastAsia="zh-CN"/>
        </w:rPr>
        <w:t>06</w:t>
      </w:r>
      <w:r>
        <w:rPr>
          <w:rFonts w:hint="eastAsia" w:hAnsi="宋体"/>
          <w:color w:val="auto"/>
          <w:kern w:val="0"/>
          <w:sz w:val="24"/>
          <w:highlight w:val="none"/>
        </w:rPr>
        <w:t>日至</w:t>
      </w:r>
      <w:r>
        <w:rPr>
          <w:rFonts w:hint="eastAsia" w:hAnsi="宋体"/>
          <w:color w:val="auto"/>
          <w:kern w:val="0"/>
          <w:sz w:val="24"/>
          <w:highlight w:val="none"/>
          <w:u w:val="single"/>
          <w:lang w:eastAsia="zh-CN"/>
        </w:rPr>
        <w:t>2023</w:t>
      </w:r>
      <w:r>
        <w:rPr>
          <w:rFonts w:hint="eastAsia" w:hAnsi="宋体"/>
          <w:color w:val="auto"/>
          <w:kern w:val="0"/>
          <w:sz w:val="24"/>
          <w:highlight w:val="none"/>
        </w:rPr>
        <w:t>年</w:t>
      </w:r>
      <w:r>
        <w:rPr>
          <w:rFonts w:hint="eastAsia" w:hAnsi="宋体"/>
          <w:color w:val="auto"/>
          <w:kern w:val="0"/>
          <w:sz w:val="24"/>
          <w:highlight w:val="none"/>
          <w:u w:val="single"/>
          <w:lang w:val="en-US" w:eastAsia="zh-CN"/>
        </w:rPr>
        <w:t>4</w:t>
      </w:r>
      <w:r>
        <w:rPr>
          <w:rFonts w:hint="eastAsia" w:hAnsi="宋体"/>
          <w:color w:val="auto"/>
          <w:kern w:val="0"/>
          <w:sz w:val="24"/>
          <w:highlight w:val="none"/>
        </w:rPr>
        <w:t>月</w:t>
      </w:r>
      <w:r>
        <w:rPr>
          <w:rFonts w:hint="eastAsia" w:hAnsi="宋体"/>
          <w:color w:val="auto"/>
          <w:kern w:val="0"/>
          <w:sz w:val="24"/>
          <w:highlight w:val="none"/>
          <w:u w:val="single"/>
          <w:lang w:val="en-US" w:eastAsia="zh-CN"/>
        </w:rPr>
        <w:t>12</w:t>
      </w:r>
      <w:r>
        <w:rPr>
          <w:rFonts w:hint="eastAsia" w:hAnsi="宋体"/>
          <w:color w:val="auto"/>
          <w:kern w:val="0"/>
          <w:sz w:val="24"/>
          <w:highlight w:val="none"/>
        </w:rPr>
        <w:t>日，每日上午09时00分至17时00分（北京时间，法定节假日除外）；</w:t>
      </w:r>
    </w:p>
    <w:p>
      <w:pPr>
        <w:pStyle w:val="136"/>
        <w:spacing w:line="360" w:lineRule="auto"/>
        <w:ind w:left="-398" w:leftChars="-142" w:firstLine="840" w:firstLineChars="350"/>
        <w:rPr>
          <w:rFonts w:hint="eastAsia" w:hAnsi="宋体" w:eastAsia="宋体"/>
          <w:color w:val="auto"/>
          <w:kern w:val="0"/>
          <w:sz w:val="24"/>
          <w:highlight w:val="none"/>
          <w:lang w:eastAsia="zh-CN"/>
        </w:rPr>
      </w:pPr>
      <w:r>
        <w:rPr>
          <w:rFonts w:hint="eastAsia" w:hAnsi="宋体"/>
          <w:color w:val="auto"/>
          <w:kern w:val="0"/>
          <w:sz w:val="24"/>
          <w:highlight w:val="none"/>
        </w:rPr>
        <w:t>2、地点：</w:t>
      </w:r>
      <w:r>
        <w:rPr>
          <w:rFonts w:hint="eastAsia" w:ascii="宋体" w:hAnsi="宋体" w:cs="宋体"/>
          <w:sz w:val="24"/>
        </w:rPr>
        <w:t>赢标电子招标采购交易平台(菏泽专)(</w:t>
      </w:r>
      <w:r>
        <w:rPr>
          <w:rFonts w:ascii="宋体" w:hAnsi="宋体" w:cs="宋体"/>
          <w:sz w:val="24"/>
        </w:rPr>
        <w:fldChar w:fldCharType="begin"/>
      </w:r>
      <w:r>
        <w:rPr>
          <w:rFonts w:ascii="宋体" w:hAnsi="宋体" w:cs="宋体"/>
          <w:sz w:val="24"/>
        </w:rPr>
        <w:instrText xml:space="preserve"> HYPERLINK "</w:instrText>
      </w:r>
      <w:r>
        <w:rPr>
          <w:rFonts w:hint="eastAsia" w:ascii="宋体" w:hAnsi="宋体" w:cs="宋体"/>
          <w:sz w:val="24"/>
        </w:rPr>
        <w:instrText xml:space="preserve">http://hz.fzbidding.com</w:instrText>
      </w:r>
      <w:r>
        <w:rPr>
          <w:rFonts w:ascii="宋体" w:hAnsi="宋体" w:cs="宋体"/>
          <w:sz w:val="24"/>
        </w:rPr>
        <w:instrText xml:space="preserve">" </w:instrText>
      </w:r>
      <w:r>
        <w:rPr>
          <w:rFonts w:ascii="宋体" w:hAnsi="宋体" w:cs="宋体"/>
          <w:sz w:val="24"/>
        </w:rPr>
        <w:fldChar w:fldCharType="separate"/>
      </w:r>
      <w:r>
        <w:rPr>
          <w:rStyle w:val="39"/>
          <w:rFonts w:hint="eastAsia" w:ascii="宋体" w:hAnsi="宋体" w:cs="宋体"/>
          <w:color w:val="auto"/>
          <w:sz w:val="24"/>
        </w:rPr>
        <w:t>http://hz.fzbidding.com</w:t>
      </w:r>
      <w:r>
        <w:rPr>
          <w:rFonts w:ascii="宋体" w:hAnsi="宋体" w:cs="宋体"/>
          <w:sz w:val="24"/>
        </w:rPr>
        <w:fldChar w:fldCharType="end"/>
      </w:r>
      <w:r>
        <w:rPr>
          <w:rFonts w:hint="eastAsia" w:ascii="宋体" w:hAnsi="宋体" w:cs="宋体"/>
          <w:sz w:val="24"/>
        </w:rPr>
        <w:t>)</w:t>
      </w:r>
      <w:r>
        <w:rPr>
          <w:rFonts w:hint="eastAsia" w:ascii="宋体" w:hAnsi="宋体" w:cs="宋体"/>
          <w:color w:val="000000"/>
          <w:sz w:val="24"/>
          <w:szCs w:val="24"/>
          <w:shd w:val="clear" w:color="auto" w:fill="FFFFFF"/>
        </w:rPr>
        <w:t>下载</w:t>
      </w:r>
      <w:r>
        <w:rPr>
          <w:rFonts w:hint="eastAsia" w:ascii="宋体" w:hAnsi="宋体" w:cs="宋体"/>
          <w:color w:val="000000"/>
          <w:sz w:val="24"/>
          <w:szCs w:val="24"/>
          <w:shd w:val="clear" w:color="auto" w:fill="FFFFFF"/>
          <w:lang w:eastAsia="zh-CN"/>
        </w:rPr>
        <w:t>；</w:t>
      </w:r>
    </w:p>
    <w:p>
      <w:pPr>
        <w:pStyle w:val="2"/>
        <w:spacing w:line="360" w:lineRule="auto"/>
        <w:ind w:firstLine="480" w:firstLineChars="200"/>
        <w:rPr>
          <w:rFonts w:hint="eastAsia"/>
          <w:b w:val="0"/>
          <w:bCs w:val="0"/>
          <w:color w:val="auto"/>
          <w:kern w:val="0"/>
          <w:sz w:val="24"/>
          <w:highlight w:val="none"/>
        </w:rPr>
      </w:pPr>
      <w:r>
        <w:rPr>
          <w:rFonts w:hint="eastAsia"/>
          <w:b w:val="0"/>
          <w:bCs w:val="0"/>
          <w:color w:val="auto"/>
          <w:kern w:val="0"/>
          <w:sz w:val="24"/>
          <w:highlight w:val="none"/>
        </w:rPr>
        <w:t>3、方式：</w:t>
      </w:r>
      <w:r>
        <w:rPr>
          <w:rFonts w:hint="eastAsia" w:ascii="宋体" w:hAnsi="宋体" w:eastAsia="宋体" w:cs="宋体"/>
          <w:b w:val="0"/>
          <w:bCs w:val="0"/>
          <w:caps w:val="0"/>
          <w:sz w:val="24"/>
          <w:szCs w:val="24"/>
          <w:lang w:val="en-US" w:eastAsia="zh-CN" w:bidi="ar-SA"/>
        </w:rPr>
        <w:t>由潜在投标单位登录赢标电子招标采购交易平台(菏泽专区)(http://hz.fzbidding.com)下载，截止时间前未在赢标电子招标采购交易平台网上获取</w:t>
      </w:r>
      <w:r>
        <w:rPr>
          <w:rFonts w:hint="eastAsia" w:cs="宋体"/>
          <w:b w:val="0"/>
          <w:bCs w:val="0"/>
          <w:caps w:val="0"/>
          <w:sz w:val="24"/>
          <w:szCs w:val="24"/>
          <w:lang w:val="en-US" w:eastAsia="zh-CN" w:bidi="ar-SA"/>
        </w:rPr>
        <w:t>磋商文件</w:t>
      </w:r>
      <w:r>
        <w:rPr>
          <w:rFonts w:hint="eastAsia" w:ascii="宋体" w:hAnsi="宋体" w:eastAsia="宋体" w:cs="宋体"/>
          <w:b w:val="0"/>
          <w:bCs w:val="0"/>
          <w:caps w:val="0"/>
          <w:sz w:val="24"/>
          <w:szCs w:val="24"/>
          <w:lang w:val="en-US" w:eastAsia="zh-CN" w:bidi="ar-SA"/>
        </w:rPr>
        <w:t>的投标单位不具备参与本项目的投标资格。</w:t>
      </w:r>
    </w:p>
    <w:p>
      <w:pPr>
        <w:pStyle w:val="2"/>
        <w:spacing w:line="360" w:lineRule="auto"/>
        <w:ind w:firstLine="480" w:firstLineChars="200"/>
        <w:rPr>
          <w:rFonts w:hint="eastAsia" w:eastAsia="宋体"/>
          <w:lang w:val="en-US" w:eastAsia="zh-CN"/>
        </w:rPr>
      </w:pPr>
      <w:r>
        <w:rPr>
          <w:rFonts w:hint="eastAsia"/>
          <w:b w:val="0"/>
          <w:bCs w:val="0"/>
          <w:color w:val="auto"/>
          <w:kern w:val="0"/>
          <w:sz w:val="24"/>
          <w:highlight w:val="none"/>
        </w:rPr>
        <w:t>注：（1）获取</w:t>
      </w:r>
      <w:r>
        <w:rPr>
          <w:rFonts w:hint="eastAsia"/>
          <w:b w:val="0"/>
          <w:bCs w:val="0"/>
          <w:color w:val="auto"/>
          <w:kern w:val="0"/>
          <w:sz w:val="24"/>
          <w:highlight w:val="none"/>
          <w:lang w:eastAsia="zh-CN"/>
        </w:rPr>
        <w:t>磋商文件</w:t>
      </w:r>
      <w:r>
        <w:rPr>
          <w:rFonts w:hint="eastAsia"/>
          <w:b w:val="0"/>
          <w:bCs w:val="0"/>
          <w:color w:val="auto"/>
          <w:kern w:val="0"/>
          <w:sz w:val="24"/>
          <w:highlight w:val="none"/>
        </w:rPr>
        <w:t>并不作为潜在投标单位资格条件的最终通过或合格，潜在投标单位应对资料的真实性等负责；招标时须对投标单位进行资格审核，不符合项目资格条件的投标单位的</w:t>
      </w:r>
      <w:r>
        <w:rPr>
          <w:rFonts w:hint="eastAsia"/>
          <w:b w:val="0"/>
          <w:bCs w:val="0"/>
          <w:color w:val="auto"/>
          <w:kern w:val="0"/>
          <w:sz w:val="24"/>
          <w:highlight w:val="none"/>
          <w:lang w:eastAsia="zh-CN"/>
        </w:rPr>
        <w:t>响应文件</w:t>
      </w:r>
      <w:r>
        <w:rPr>
          <w:rFonts w:hint="eastAsia"/>
          <w:b w:val="0"/>
          <w:bCs w:val="0"/>
          <w:color w:val="auto"/>
          <w:kern w:val="0"/>
          <w:sz w:val="24"/>
          <w:highlight w:val="none"/>
        </w:rPr>
        <w:t>的将被拒绝，潜在投标单位应自负其风险费用；关于本项目的变更、修改、澄清、补充内容及对项目的暂停、延期通知等情况均在</w:t>
      </w:r>
      <w:r>
        <w:rPr>
          <w:rFonts w:hint="eastAsia"/>
          <w:b w:val="0"/>
          <w:bCs w:val="0"/>
          <w:color w:val="auto"/>
          <w:kern w:val="0"/>
          <w:sz w:val="24"/>
          <w:highlight w:val="none"/>
          <w:lang w:eastAsia="zh-CN"/>
        </w:rPr>
        <w:t>中国山东政府采购网</w:t>
      </w:r>
      <w:r>
        <w:rPr>
          <w:rFonts w:hint="eastAsia"/>
          <w:b w:val="0"/>
          <w:bCs w:val="0"/>
          <w:color w:val="auto"/>
          <w:kern w:val="0"/>
          <w:sz w:val="24"/>
          <w:highlight w:val="none"/>
        </w:rPr>
        <w:t>、菏泽市政府采购公共服务平台</w:t>
      </w:r>
      <w:r>
        <w:rPr>
          <w:rFonts w:hint="eastAsia"/>
          <w:b w:val="0"/>
          <w:bCs w:val="0"/>
          <w:color w:val="auto"/>
          <w:kern w:val="0"/>
          <w:sz w:val="24"/>
          <w:highlight w:val="none"/>
          <w:lang w:eastAsia="zh-CN"/>
        </w:rPr>
        <w:t>、</w:t>
      </w:r>
      <w:r>
        <w:rPr>
          <w:rFonts w:hint="eastAsia" w:ascii="宋体" w:hAnsi="宋体" w:eastAsia="宋体" w:cs="宋体"/>
          <w:b w:val="0"/>
          <w:bCs w:val="0"/>
          <w:caps w:val="0"/>
          <w:sz w:val="24"/>
          <w:szCs w:val="24"/>
          <w:lang w:val="en-US" w:eastAsia="zh-CN" w:bidi="ar-SA"/>
        </w:rPr>
        <w:t>赢标电子招标采购交易平台(菏泽专区)(http://hz.fzbidding.com)</w:t>
      </w:r>
      <w:r>
        <w:rPr>
          <w:rFonts w:hint="eastAsia" w:cs="宋体"/>
          <w:b w:val="0"/>
          <w:bCs w:val="0"/>
          <w:caps w:val="0"/>
          <w:sz w:val="24"/>
          <w:szCs w:val="24"/>
          <w:lang w:val="en-US" w:eastAsia="zh-CN" w:bidi="ar-SA"/>
        </w:rPr>
        <w:t>、</w:t>
      </w:r>
      <w:r>
        <w:rPr>
          <w:rFonts w:hint="eastAsia" w:ascii="宋体" w:hAnsi="宋体" w:eastAsia="宋体" w:cs="宋体"/>
          <w:b w:val="0"/>
          <w:bCs w:val="0"/>
          <w:caps w:val="0"/>
          <w:sz w:val="24"/>
          <w:szCs w:val="24"/>
          <w:lang w:val="en-US" w:eastAsia="zh-CN" w:bidi="ar-SA"/>
        </w:rPr>
        <w:t>菏泽职业学院</w:t>
      </w:r>
      <w:r>
        <w:rPr>
          <w:rFonts w:hint="eastAsia" w:cs="宋体"/>
          <w:b w:val="0"/>
          <w:bCs w:val="0"/>
          <w:caps w:val="0"/>
          <w:sz w:val="24"/>
          <w:szCs w:val="24"/>
          <w:lang w:val="en-US" w:eastAsia="zh-CN" w:bidi="ar-SA"/>
        </w:rPr>
        <w:t>网站</w:t>
      </w:r>
      <w:r>
        <w:rPr>
          <w:rFonts w:hint="eastAsia"/>
          <w:b w:val="0"/>
          <w:bCs w:val="0"/>
          <w:color w:val="auto"/>
          <w:kern w:val="0"/>
          <w:sz w:val="24"/>
          <w:highlight w:val="none"/>
        </w:rPr>
        <w:t>发布。投标单位自行查阅网站信息，未按要求查阅者自行承担相应后果，恕不予单独告知。</w:t>
      </w:r>
    </w:p>
    <w:p>
      <w:pPr>
        <w:spacing w:line="360" w:lineRule="auto"/>
        <w:rPr>
          <w:rFonts w:ascii="Times New Roman" w:hAnsi="宋体" w:cs="仿宋"/>
          <w:b/>
          <w:color w:val="auto"/>
          <w:sz w:val="24"/>
          <w:szCs w:val="32"/>
          <w:highlight w:val="none"/>
        </w:rPr>
      </w:pPr>
      <w:r>
        <w:rPr>
          <w:rFonts w:hint="eastAsia" w:ascii="Times New Roman" w:hAnsi="宋体" w:cs="仿宋"/>
          <w:b/>
          <w:color w:val="auto"/>
          <w:sz w:val="24"/>
          <w:szCs w:val="32"/>
          <w:highlight w:val="none"/>
        </w:rPr>
        <w:t>四、提交响应文件截止时间、开标时间和地点：</w:t>
      </w:r>
    </w:p>
    <w:p>
      <w:pPr>
        <w:pStyle w:val="136"/>
        <w:spacing w:line="360" w:lineRule="auto"/>
        <w:ind w:firstLine="480"/>
        <w:rPr>
          <w:rFonts w:hint="eastAsia" w:ascii="宋体" w:hAnsi="宋体" w:cs="宋体"/>
          <w:sz w:val="24"/>
          <w:szCs w:val="24"/>
        </w:rPr>
      </w:pPr>
      <w:r>
        <w:rPr>
          <w:rFonts w:hint="eastAsia" w:ascii="宋体" w:hAnsi="宋体" w:cs="宋体"/>
          <w:sz w:val="24"/>
          <w:szCs w:val="24"/>
        </w:rPr>
        <w:t>本项目为网上交易，</w:t>
      </w:r>
      <w:r>
        <w:rPr>
          <w:rFonts w:hint="eastAsia" w:ascii="宋体" w:hAnsi="宋体" w:cs="宋体"/>
          <w:sz w:val="24"/>
          <w:szCs w:val="24"/>
          <w:lang w:eastAsia="zh-CN"/>
        </w:rPr>
        <w:t>响应文件</w:t>
      </w:r>
      <w:r>
        <w:rPr>
          <w:rFonts w:hint="eastAsia" w:ascii="宋体" w:hAnsi="宋体" w:cs="宋体"/>
          <w:sz w:val="24"/>
          <w:szCs w:val="24"/>
        </w:rPr>
        <w:t>目前采用电子版的方式，</w:t>
      </w:r>
      <w:r>
        <w:rPr>
          <w:rFonts w:hint="eastAsia" w:ascii="宋体" w:hAnsi="宋体" w:cs="宋体"/>
          <w:sz w:val="24"/>
          <w:szCs w:val="24"/>
          <w:lang w:eastAsia="zh-CN"/>
        </w:rPr>
        <w:t>供应商</w:t>
      </w:r>
      <w:r>
        <w:rPr>
          <w:rFonts w:hint="eastAsia" w:ascii="宋体" w:hAnsi="宋体" w:cs="宋体"/>
          <w:sz w:val="24"/>
          <w:szCs w:val="24"/>
        </w:rPr>
        <w:t>需在</w:t>
      </w:r>
      <w:r>
        <w:rPr>
          <w:rFonts w:hint="eastAsia" w:ascii="宋体" w:hAnsi="宋体" w:cs="宋体"/>
          <w:sz w:val="24"/>
        </w:rPr>
        <w:t>赢标电子招标采购交易平台(菏泽专区)(</w:t>
      </w:r>
      <w:r>
        <w:rPr>
          <w:rFonts w:ascii="宋体" w:hAnsi="宋体" w:cs="宋体"/>
          <w:sz w:val="24"/>
        </w:rPr>
        <w:fldChar w:fldCharType="begin"/>
      </w:r>
      <w:r>
        <w:rPr>
          <w:rFonts w:ascii="宋体" w:hAnsi="宋体" w:cs="宋体"/>
          <w:sz w:val="24"/>
        </w:rPr>
        <w:instrText xml:space="preserve"> HYPERLINK "</w:instrText>
      </w:r>
      <w:r>
        <w:rPr>
          <w:rFonts w:hint="eastAsia" w:ascii="宋体" w:hAnsi="宋体" w:cs="宋体"/>
          <w:sz w:val="24"/>
        </w:rPr>
        <w:instrText xml:space="preserve">http://hz.fzbidding.com</w:instrText>
      </w:r>
      <w:r>
        <w:rPr>
          <w:rFonts w:ascii="宋体" w:hAnsi="宋体" w:cs="宋体"/>
          <w:sz w:val="24"/>
        </w:rPr>
        <w:instrText xml:space="preserve">" </w:instrText>
      </w:r>
      <w:r>
        <w:rPr>
          <w:rFonts w:ascii="宋体" w:hAnsi="宋体" w:cs="宋体"/>
          <w:sz w:val="24"/>
        </w:rPr>
        <w:fldChar w:fldCharType="separate"/>
      </w:r>
      <w:r>
        <w:rPr>
          <w:rStyle w:val="39"/>
          <w:rFonts w:hint="eastAsia" w:ascii="宋体" w:hAnsi="宋体" w:cs="宋体"/>
          <w:color w:val="auto"/>
          <w:sz w:val="24"/>
        </w:rPr>
        <w:t>http://hz.fzbidding.com</w:t>
      </w:r>
      <w:r>
        <w:rPr>
          <w:rFonts w:ascii="宋体" w:hAnsi="宋体" w:cs="宋体"/>
          <w:sz w:val="24"/>
        </w:rPr>
        <w:fldChar w:fldCharType="end"/>
      </w:r>
      <w:r>
        <w:rPr>
          <w:rFonts w:hint="eastAsia" w:ascii="宋体" w:hAnsi="宋体" w:cs="宋体"/>
          <w:sz w:val="24"/>
        </w:rPr>
        <w:t>)</w:t>
      </w:r>
      <w:r>
        <w:rPr>
          <w:rFonts w:hint="eastAsia" w:ascii="宋体" w:hAnsi="宋体" w:cs="宋体"/>
          <w:sz w:val="24"/>
          <w:szCs w:val="24"/>
        </w:rPr>
        <w:t>递交加密版电子</w:t>
      </w:r>
      <w:r>
        <w:rPr>
          <w:rFonts w:hint="eastAsia" w:ascii="宋体" w:hAnsi="宋体" w:cs="宋体"/>
          <w:sz w:val="24"/>
          <w:szCs w:val="24"/>
          <w:lang w:eastAsia="zh-CN"/>
        </w:rPr>
        <w:t>响应文件</w:t>
      </w:r>
      <w:r>
        <w:rPr>
          <w:rFonts w:hint="eastAsia" w:ascii="宋体" w:hAnsi="宋体" w:cs="宋体"/>
          <w:sz w:val="24"/>
          <w:szCs w:val="24"/>
        </w:rPr>
        <w:t>。同时提交电子版</w:t>
      </w:r>
      <w:r>
        <w:rPr>
          <w:rFonts w:hint="eastAsia" w:ascii="宋体" w:hAnsi="宋体" w:cs="宋体"/>
          <w:sz w:val="24"/>
          <w:szCs w:val="24"/>
          <w:lang w:eastAsia="zh-CN"/>
        </w:rPr>
        <w:t>响应文件</w:t>
      </w:r>
      <w:r>
        <w:rPr>
          <w:rFonts w:hint="eastAsia" w:ascii="宋体" w:hAnsi="宋体" w:cs="宋体"/>
          <w:sz w:val="24"/>
          <w:szCs w:val="24"/>
        </w:rPr>
        <w:t>一份（U 盘），内容为电子签章后的 PDF 格式</w:t>
      </w:r>
      <w:r>
        <w:rPr>
          <w:rFonts w:hint="eastAsia" w:ascii="宋体" w:hAnsi="宋体" w:cs="宋体"/>
          <w:sz w:val="24"/>
          <w:szCs w:val="24"/>
          <w:lang w:eastAsia="zh-CN"/>
        </w:rPr>
        <w:t>响应文件</w:t>
      </w:r>
      <w:r>
        <w:rPr>
          <w:rFonts w:hint="eastAsia" w:ascii="宋体" w:hAnsi="宋体" w:cs="宋体"/>
          <w:sz w:val="24"/>
          <w:szCs w:val="24"/>
        </w:rPr>
        <w:t>。</w:t>
      </w:r>
    </w:p>
    <w:p>
      <w:pPr>
        <w:pStyle w:val="136"/>
        <w:spacing w:line="360" w:lineRule="auto"/>
        <w:ind w:firstLine="0" w:firstLineChars="0"/>
        <w:rPr>
          <w:rFonts w:hint="eastAsia" w:ascii="宋体" w:hAnsi="宋体" w:cs="宋体"/>
          <w:color w:val="auto"/>
          <w:sz w:val="24"/>
          <w:szCs w:val="24"/>
        </w:rPr>
      </w:pPr>
      <w:r>
        <w:rPr>
          <w:rFonts w:hint="eastAsia" w:ascii="宋体" w:hAnsi="宋体" w:cs="宋体"/>
          <w:sz w:val="24"/>
          <w:szCs w:val="24"/>
        </w:rPr>
        <w:t>1.时间：</w:t>
      </w:r>
      <w:r>
        <w:rPr>
          <w:rFonts w:hint="eastAsia" w:ascii="宋体" w:hAnsi="宋体" w:cs="宋体"/>
          <w:sz w:val="24"/>
          <w:szCs w:val="24"/>
          <w:lang w:eastAsia="zh-CN"/>
        </w:rPr>
        <w:t>2023</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18</w:t>
      </w:r>
      <w:r>
        <w:rPr>
          <w:rFonts w:hint="eastAsia" w:ascii="宋体" w:hAnsi="宋体" w:cs="宋体"/>
          <w:sz w:val="24"/>
          <w:szCs w:val="24"/>
        </w:rPr>
        <w:t>日</w:t>
      </w:r>
      <w:r>
        <w:rPr>
          <w:rFonts w:hint="eastAsia" w:ascii="宋体" w:hAnsi="宋体" w:cs="宋体"/>
          <w:sz w:val="24"/>
          <w:szCs w:val="24"/>
          <w:lang w:val="en-US" w:eastAsia="zh-CN"/>
        </w:rPr>
        <w:t>14</w:t>
      </w:r>
      <w:r>
        <w:rPr>
          <w:rFonts w:hint="eastAsia" w:ascii="宋体" w:hAnsi="宋体" w:cs="宋体"/>
          <w:sz w:val="24"/>
          <w:szCs w:val="24"/>
        </w:rPr>
        <w:t>时</w:t>
      </w:r>
      <w:r>
        <w:rPr>
          <w:rFonts w:hint="eastAsia" w:ascii="宋体" w:hAnsi="宋体" w:cs="宋体"/>
          <w:sz w:val="24"/>
          <w:szCs w:val="24"/>
          <w:lang w:val="en-US" w:eastAsia="zh-CN"/>
        </w:rPr>
        <w:t>00</w:t>
      </w:r>
      <w:r>
        <w:rPr>
          <w:rFonts w:hint="eastAsia" w:ascii="宋体" w:hAnsi="宋体" w:cs="宋体"/>
          <w:sz w:val="24"/>
          <w:szCs w:val="24"/>
        </w:rPr>
        <w:t>分</w:t>
      </w:r>
      <w:r>
        <w:rPr>
          <w:rFonts w:hint="eastAsia" w:ascii="宋体" w:hAnsi="宋体" w:cs="宋体"/>
          <w:color w:val="auto"/>
          <w:sz w:val="24"/>
          <w:szCs w:val="24"/>
        </w:rPr>
        <w:t>（北京时间）；</w:t>
      </w:r>
    </w:p>
    <w:p>
      <w:pPr>
        <w:pStyle w:val="136"/>
        <w:spacing w:line="360" w:lineRule="auto"/>
        <w:ind w:firstLine="0" w:firstLineChars="0"/>
        <w:rPr>
          <w:rFonts w:hint="eastAsia" w:ascii="宋体" w:hAnsi="宋体" w:cs="宋体"/>
          <w:color w:val="auto"/>
          <w:sz w:val="24"/>
          <w:szCs w:val="24"/>
        </w:rPr>
      </w:pPr>
      <w:r>
        <w:rPr>
          <w:rFonts w:hint="eastAsia" w:ascii="宋体" w:hAnsi="宋体" w:cs="宋体"/>
          <w:color w:val="auto"/>
          <w:sz w:val="24"/>
          <w:szCs w:val="24"/>
        </w:rPr>
        <w:t>2.地点：</w:t>
      </w:r>
      <w:r>
        <w:rPr>
          <w:rFonts w:hint="eastAsia" w:ascii="宋体" w:hAnsi="宋体" w:cs="宋体"/>
          <w:color w:val="auto"/>
          <w:sz w:val="24"/>
        </w:rPr>
        <w:t>菏泽市公共资源(国有产权)交易中心开标三室(菏泽市经济开发区济南路666号)</w:t>
      </w:r>
      <w:r>
        <w:rPr>
          <w:rFonts w:hint="eastAsia" w:ascii="宋体" w:hAnsi="宋体"/>
          <w:color w:val="auto"/>
          <w:sz w:val="24"/>
        </w:rPr>
        <w:t>。</w:t>
      </w:r>
    </w:p>
    <w:p>
      <w:pPr>
        <w:pStyle w:val="136"/>
        <w:wordWrap w:val="0"/>
        <w:spacing w:line="360" w:lineRule="auto"/>
        <w:ind w:firstLine="0" w:firstLineChars="0"/>
        <w:rPr>
          <w:rFonts w:hint="eastAsia" w:ascii="宋体" w:hAnsi="宋体" w:cs="宋体"/>
          <w:sz w:val="24"/>
          <w:szCs w:val="24"/>
        </w:rPr>
      </w:pPr>
      <w:r>
        <w:rPr>
          <w:rFonts w:hint="eastAsia" w:ascii="宋体" w:hAnsi="宋体" w:cs="宋体"/>
          <w:sz w:val="24"/>
          <w:szCs w:val="24"/>
        </w:rPr>
        <w:t>3.加密版电子</w:t>
      </w:r>
      <w:r>
        <w:rPr>
          <w:rFonts w:hint="eastAsia" w:ascii="宋体" w:hAnsi="宋体" w:cs="宋体"/>
          <w:sz w:val="24"/>
          <w:szCs w:val="24"/>
          <w:lang w:eastAsia="zh-CN"/>
        </w:rPr>
        <w:t>响应文件</w:t>
      </w:r>
      <w:r>
        <w:rPr>
          <w:rFonts w:hint="eastAsia" w:ascii="宋体" w:hAnsi="宋体" w:cs="宋体"/>
          <w:sz w:val="24"/>
          <w:szCs w:val="24"/>
        </w:rPr>
        <w:t>应于递交</w:t>
      </w:r>
      <w:r>
        <w:rPr>
          <w:rFonts w:hint="eastAsia" w:ascii="宋体" w:hAnsi="宋体" w:cs="宋体"/>
          <w:sz w:val="24"/>
          <w:szCs w:val="24"/>
          <w:lang w:eastAsia="zh-CN"/>
        </w:rPr>
        <w:t>响应文件</w:t>
      </w:r>
      <w:r>
        <w:rPr>
          <w:rFonts w:hint="eastAsia" w:ascii="宋体" w:hAnsi="宋体" w:cs="宋体"/>
          <w:sz w:val="24"/>
          <w:szCs w:val="24"/>
        </w:rPr>
        <w:t>截止时间之前上传至</w:t>
      </w:r>
      <w:r>
        <w:rPr>
          <w:rFonts w:hint="eastAsia" w:ascii="宋体" w:hAnsi="宋体" w:cs="宋体"/>
          <w:sz w:val="24"/>
        </w:rPr>
        <w:t>赢标电子招标采购交易平台(菏泽专区)http://hz.fzbidding.com</w:t>
      </w:r>
      <w:r>
        <w:rPr>
          <w:rFonts w:hint="eastAsia" w:ascii="宋体" w:hAnsi="宋体" w:cs="宋体"/>
          <w:sz w:val="24"/>
          <w:szCs w:val="24"/>
        </w:rPr>
        <w:t>。</w:t>
      </w:r>
    </w:p>
    <w:p>
      <w:pPr>
        <w:pStyle w:val="136"/>
        <w:keepNext w:val="0"/>
        <w:keepLines w:val="0"/>
        <w:pageBreakBefore w:val="0"/>
        <w:widowControl/>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cs="宋体"/>
          <w:sz w:val="24"/>
          <w:szCs w:val="24"/>
        </w:rPr>
      </w:pPr>
      <w:r>
        <w:rPr>
          <w:rFonts w:hint="eastAsia" w:ascii="宋体" w:hAnsi="宋体" w:cs="宋体"/>
          <w:sz w:val="24"/>
          <w:szCs w:val="24"/>
        </w:rPr>
        <w:t>注：本项目为电子交易，在</w:t>
      </w:r>
      <w:r>
        <w:rPr>
          <w:rFonts w:hint="eastAsia" w:ascii="宋体" w:hAnsi="宋体" w:cs="宋体"/>
          <w:sz w:val="24"/>
        </w:rPr>
        <w:t>赢标电子招标采购交易平台(菏泽专区)(</w:t>
      </w:r>
      <w:r>
        <w:rPr>
          <w:rFonts w:ascii="宋体" w:hAnsi="宋体" w:cs="宋体"/>
          <w:sz w:val="24"/>
        </w:rPr>
        <w:fldChar w:fldCharType="begin"/>
      </w:r>
      <w:r>
        <w:rPr>
          <w:rFonts w:ascii="宋体" w:hAnsi="宋体" w:cs="宋体"/>
          <w:sz w:val="24"/>
        </w:rPr>
        <w:instrText xml:space="preserve"> HYPERLINK "</w:instrText>
      </w:r>
      <w:r>
        <w:rPr>
          <w:rFonts w:hint="eastAsia" w:ascii="宋体" w:hAnsi="宋体" w:cs="宋体"/>
          <w:sz w:val="24"/>
        </w:rPr>
        <w:instrText xml:space="preserve">http://hz.fzbidding.com</w:instrText>
      </w:r>
      <w:r>
        <w:rPr>
          <w:rFonts w:ascii="宋体" w:hAnsi="宋体" w:cs="宋体"/>
          <w:sz w:val="24"/>
        </w:rPr>
        <w:instrText xml:space="preserve">" </w:instrText>
      </w:r>
      <w:r>
        <w:rPr>
          <w:rFonts w:ascii="宋体" w:hAnsi="宋体" w:cs="宋体"/>
          <w:sz w:val="24"/>
        </w:rPr>
        <w:fldChar w:fldCharType="separate"/>
      </w:r>
      <w:r>
        <w:rPr>
          <w:rStyle w:val="39"/>
          <w:rFonts w:hint="eastAsia" w:ascii="宋体" w:hAnsi="宋体" w:eastAsia="宋体" w:cs="宋体"/>
          <w:color w:val="auto"/>
          <w:sz w:val="24"/>
        </w:rPr>
        <w:t>http://hz.fzbidding.com</w:t>
      </w:r>
      <w:r>
        <w:rPr>
          <w:rFonts w:ascii="宋体" w:hAnsi="宋体" w:cs="宋体"/>
          <w:sz w:val="24"/>
        </w:rPr>
        <w:fldChar w:fldCharType="end"/>
      </w:r>
      <w:r>
        <w:rPr>
          <w:rFonts w:hint="eastAsia" w:ascii="宋体" w:hAnsi="宋体" w:cs="宋体"/>
          <w:sz w:val="24"/>
        </w:rPr>
        <w:t>)</w:t>
      </w:r>
      <w:r>
        <w:rPr>
          <w:rFonts w:hint="eastAsia" w:ascii="宋体" w:hAnsi="宋体" w:cs="宋体"/>
          <w:sz w:val="24"/>
          <w:szCs w:val="24"/>
        </w:rPr>
        <w:t>递交加密版电子响应文件，网上开标以电子响应文件为准，电子版响应文件必须电子签章。在线递交电子响应文件前，供应商/投标人应当使用</w:t>
      </w:r>
      <w:r>
        <w:rPr>
          <w:rFonts w:hint="eastAsia" w:ascii="宋体" w:hAnsi="宋体" w:cs="宋体"/>
          <w:sz w:val="24"/>
          <w:szCs w:val="24"/>
          <w:lang w:eastAsia="zh-CN"/>
        </w:rPr>
        <w:t>响应文件</w:t>
      </w:r>
      <w:r>
        <w:rPr>
          <w:rFonts w:hint="eastAsia" w:ascii="宋体" w:hAnsi="宋体" w:cs="宋体"/>
          <w:sz w:val="24"/>
          <w:szCs w:val="24"/>
        </w:rPr>
        <w:t>编制工具客户端及CA为响应文件加密，加密时响应文件均只能使用同一把企业CA证书进行加密，否则引起的解密失败的责任由供应商/投标人自行承担。</w:t>
      </w:r>
      <w:r>
        <w:rPr>
          <w:rFonts w:hint="eastAsia" w:ascii="宋体" w:hAnsi="宋体" w:cs="宋体"/>
          <w:b/>
          <w:bCs/>
          <w:sz w:val="24"/>
          <w:szCs w:val="24"/>
        </w:rPr>
        <w:t>CA办理有一定周期</w:t>
      </w:r>
      <w:r>
        <w:rPr>
          <w:rFonts w:hint="eastAsia" w:ascii="宋体" w:hAnsi="宋体" w:cs="宋体"/>
          <w:sz w:val="24"/>
          <w:szCs w:val="24"/>
        </w:rPr>
        <w:t>，</w:t>
      </w:r>
      <w:r>
        <w:rPr>
          <w:rFonts w:hint="eastAsia" w:ascii="宋体" w:hAnsi="宋体" w:cs="宋体"/>
          <w:sz w:val="24"/>
        </w:rPr>
        <w:t>请及时办理以免影响参与本次项目，</w:t>
      </w:r>
      <w:r>
        <w:rPr>
          <w:rFonts w:hint="eastAsia" w:ascii="宋体" w:hAnsi="宋体" w:cs="宋体"/>
          <w:sz w:val="24"/>
          <w:szCs w:val="24"/>
        </w:rPr>
        <w:t>详见</w:t>
      </w:r>
      <w:r>
        <w:rPr>
          <w:rFonts w:hint="eastAsia" w:ascii="宋体" w:hAnsi="宋体" w:cs="宋体"/>
          <w:sz w:val="24"/>
        </w:rPr>
        <w:t>赢标电子招标采购交易平台(菏泽专区)</w:t>
      </w:r>
      <w:r>
        <w:rPr>
          <w:rFonts w:hint="eastAsia" w:ascii="宋体" w:hAnsi="宋体" w:cs="宋体"/>
          <w:sz w:val="24"/>
          <w:szCs w:val="24"/>
        </w:rPr>
        <w:t>“CA及签章办理”栏目内容相关通知。</w:t>
      </w:r>
    </w:p>
    <w:p>
      <w:pPr>
        <w:wordWrap w:val="0"/>
        <w:spacing w:line="360" w:lineRule="auto"/>
        <w:ind w:firstLine="482"/>
        <w:rPr>
          <w:rFonts w:hint="eastAsia" w:ascii="宋体" w:hAnsi="宋体"/>
          <w:sz w:val="24"/>
          <w:lang w:val="zh-CN"/>
        </w:rPr>
      </w:pPr>
      <w:r>
        <w:rPr>
          <w:rFonts w:hint="eastAsia" w:ascii="宋体" w:hAnsi="宋体" w:cs="宋体"/>
          <w:sz w:val="24"/>
        </w:rPr>
        <w:t>赢标电子招标采购交易平台(菏泽专区)具体操作步骤，</w:t>
      </w:r>
      <w:r>
        <w:rPr>
          <w:rFonts w:hint="eastAsia" w:ascii="宋体" w:hAnsi="宋体"/>
          <w:sz w:val="24"/>
          <w:lang w:val="zh-CN"/>
        </w:rPr>
        <w:t>《操作手册》赢标平台菏泽专区</w:t>
      </w:r>
      <w:r>
        <w:rPr>
          <w:rFonts w:hint="eastAsia" w:ascii="宋体" w:hAnsi="宋体"/>
          <w:sz w:val="24"/>
          <w:lang w:val="zh-CN"/>
        </w:rPr>
        <w:fldChar w:fldCharType="begin"/>
      </w:r>
      <w:r>
        <w:rPr>
          <w:rFonts w:hint="eastAsia" w:ascii="宋体" w:hAnsi="宋体"/>
          <w:sz w:val="24"/>
          <w:lang w:val="zh-CN"/>
        </w:rPr>
        <w:instrText xml:space="preserve"> HYPERLINK "http://hz.fzbidding.com/" </w:instrText>
      </w:r>
      <w:r>
        <w:rPr>
          <w:rFonts w:hint="eastAsia" w:ascii="宋体" w:hAnsi="宋体"/>
          <w:sz w:val="24"/>
          <w:lang w:val="zh-CN"/>
        </w:rPr>
        <w:fldChar w:fldCharType="separate"/>
      </w:r>
      <w:r>
        <w:rPr>
          <w:rFonts w:hint="eastAsia" w:ascii="宋体" w:hAnsi="宋体"/>
          <w:sz w:val="24"/>
          <w:lang w:val="zh-CN"/>
        </w:rPr>
        <w:t>http://hz.fzbidding.com/</w:t>
      </w:r>
      <w:r>
        <w:rPr>
          <w:rFonts w:hint="eastAsia" w:ascii="宋体" w:hAnsi="宋体"/>
          <w:sz w:val="24"/>
          <w:lang w:val="zh-CN"/>
        </w:rPr>
        <w:fldChar w:fldCharType="end"/>
      </w:r>
      <w:r>
        <w:rPr>
          <w:rFonts w:hint="eastAsia" w:ascii="宋体" w:hAnsi="宋体"/>
          <w:sz w:val="24"/>
          <w:lang w:val="zh-CN"/>
        </w:rPr>
        <w:t>“下载中心”栏目进行下载。</w:t>
      </w:r>
      <w:r>
        <w:rPr>
          <w:rFonts w:hint="eastAsia" w:hAnsi="宋体"/>
          <w:sz w:val="24"/>
          <w:lang w:val="zh-CN"/>
        </w:rPr>
        <w:t>供应商</w:t>
      </w:r>
      <w:r>
        <w:rPr>
          <w:rFonts w:hint="eastAsia" w:ascii="宋体" w:hAnsi="宋体"/>
          <w:sz w:val="24"/>
          <w:lang w:val="zh-CN"/>
        </w:rPr>
        <w:t>在使用电子招标投标平台时，如有任何疑问，请拨打客服电话或项目经理电话。</w:t>
      </w:r>
    </w:p>
    <w:p>
      <w:pPr>
        <w:wordWrap w:val="0"/>
        <w:spacing w:line="360" w:lineRule="auto"/>
        <w:ind w:firstLine="482"/>
        <w:rPr>
          <w:rFonts w:hint="eastAsia" w:ascii="宋体" w:hAnsi="宋体" w:cs="宋体"/>
          <w:sz w:val="24"/>
        </w:rPr>
      </w:pPr>
      <w:r>
        <w:rPr>
          <w:rFonts w:hint="eastAsia" w:ascii="宋体" w:hAnsi="宋体" w:cs="宋体"/>
          <w:sz w:val="24"/>
        </w:rPr>
        <w:t>技术支持电话毕老师 15898683755   刘老师15552513997。</w:t>
      </w:r>
    </w:p>
    <w:p>
      <w:pPr>
        <w:spacing w:line="360" w:lineRule="auto"/>
        <w:rPr>
          <w:rFonts w:ascii="Times New Roman" w:hAnsi="宋体" w:cs="仿宋"/>
          <w:b/>
          <w:color w:val="auto"/>
          <w:sz w:val="24"/>
          <w:szCs w:val="32"/>
          <w:highlight w:val="none"/>
        </w:rPr>
      </w:pPr>
      <w:r>
        <w:rPr>
          <w:rFonts w:hint="eastAsia" w:ascii="Times New Roman" w:hAnsi="宋体" w:cs="仿宋"/>
          <w:b/>
          <w:color w:val="auto"/>
          <w:sz w:val="24"/>
          <w:szCs w:val="32"/>
          <w:highlight w:val="none"/>
        </w:rPr>
        <w:t>五、公告期限：</w:t>
      </w:r>
    </w:p>
    <w:p>
      <w:pPr>
        <w:widowControl/>
        <w:spacing w:line="360" w:lineRule="auto"/>
        <w:ind w:firstLine="240" w:firstLineChars="100"/>
        <w:textAlignment w:val="center"/>
        <w:rPr>
          <w:rFonts w:ascii="Times New Roman" w:hAnsi="宋体" w:cs="Times New Roman"/>
          <w:color w:val="auto"/>
          <w:kern w:val="21"/>
          <w:sz w:val="24"/>
          <w:highlight w:val="none"/>
        </w:rPr>
      </w:pPr>
      <w:r>
        <w:rPr>
          <w:rFonts w:hint="eastAsia" w:ascii="Times New Roman" w:hAnsi="宋体" w:cs="Times New Roman"/>
          <w:color w:val="auto"/>
          <w:kern w:val="21"/>
          <w:sz w:val="24"/>
          <w:highlight w:val="none"/>
        </w:rPr>
        <w:t> 自本公告发布之日起</w:t>
      </w:r>
      <w:r>
        <w:rPr>
          <w:rFonts w:hint="eastAsia" w:ascii="Times New Roman" w:hAnsi="宋体" w:cs="Times New Roman"/>
          <w:color w:val="auto"/>
          <w:kern w:val="21"/>
          <w:sz w:val="24"/>
          <w:highlight w:val="none"/>
          <w:lang w:val="en-US" w:eastAsia="zh-CN"/>
        </w:rPr>
        <w:t>3</w:t>
      </w:r>
      <w:r>
        <w:rPr>
          <w:rFonts w:hint="eastAsia" w:ascii="Times New Roman" w:hAnsi="宋体" w:cs="Times New Roman"/>
          <w:color w:val="auto"/>
          <w:kern w:val="21"/>
          <w:sz w:val="24"/>
          <w:highlight w:val="none"/>
        </w:rPr>
        <w:t>个工作日。</w:t>
      </w:r>
    </w:p>
    <w:p>
      <w:pPr>
        <w:spacing w:line="360" w:lineRule="auto"/>
        <w:rPr>
          <w:rFonts w:ascii="Times New Roman" w:hAnsi="宋体" w:cs="仿宋"/>
          <w:b/>
          <w:color w:val="auto"/>
          <w:sz w:val="24"/>
          <w:szCs w:val="32"/>
          <w:highlight w:val="none"/>
        </w:rPr>
      </w:pPr>
      <w:r>
        <w:rPr>
          <w:rFonts w:hint="eastAsia" w:ascii="Times New Roman" w:hAnsi="宋体" w:cs="仿宋"/>
          <w:b/>
          <w:color w:val="auto"/>
          <w:sz w:val="24"/>
          <w:szCs w:val="32"/>
          <w:highlight w:val="none"/>
        </w:rPr>
        <w:t xml:space="preserve">六、其他补充事宜： </w:t>
      </w:r>
    </w:p>
    <w:p>
      <w:pPr>
        <w:spacing w:line="360" w:lineRule="auto"/>
        <w:ind w:firstLine="480" w:firstLineChars="200"/>
        <w:rPr>
          <w:rFonts w:hint="eastAsia" w:ascii="Times New Roman" w:hAnsi="宋体" w:cs="Times New Roman"/>
          <w:color w:val="auto"/>
          <w:kern w:val="0"/>
          <w:sz w:val="24"/>
          <w:szCs w:val="20"/>
          <w:highlight w:val="none"/>
          <w:lang w:eastAsia="zh-CN"/>
        </w:rPr>
      </w:pPr>
      <w:r>
        <w:rPr>
          <w:rFonts w:hint="eastAsia" w:ascii="Times New Roman" w:hAnsi="宋体" w:cs="Times New Roman"/>
          <w:color w:val="auto"/>
          <w:kern w:val="0"/>
          <w:sz w:val="24"/>
          <w:szCs w:val="20"/>
          <w:highlight w:val="none"/>
          <w:lang w:eastAsia="zh-CN"/>
        </w:rPr>
        <w:t>无</w:t>
      </w:r>
    </w:p>
    <w:p>
      <w:pPr>
        <w:spacing w:line="360" w:lineRule="auto"/>
        <w:rPr>
          <w:rFonts w:ascii="Times New Roman" w:hAnsi="宋体" w:cs="仿宋"/>
          <w:b/>
          <w:color w:val="auto"/>
          <w:sz w:val="24"/>
          <w:szCs w:val="32"/>
          <w:highlight w:val="none"/>
        </w:rPr>
      </w:pPr>
      <w:r>
        <w:rPr>
          <w:rFonts w:hint="eastAsia" w:ascii="Times New Roman" w:hAnsi="宋体" w:cs="仿宋"/>
          <w:b/>
          <w:color w:val="auto"/>
          <w:sz w:val="24"/>
          <w:szCs w:val="32"/>
          <w:highlight w:val="none"/>
        </w:rPr>
        <w:t xml:space="preserve">七、对本次招标提出询问，请按以下方式联系： </w:t>
      </w:r>
    </w:p>
    <w:p>
      <w:pPr>
        <w:widowControl/>
        <w:spacing w:line="360" w:lineRule="auto"/>
        <w:ind w:firstLine="480" w:firstLineChars="200"/>
        <w:jc w:val="left"/>
        <w:textAlignment w:val="center"/>
        <w:rPr>
          <w:rFonts w:hAnsi="宋体" w:cs="Times New Roman"/>
          <w:color w:val="auto"/>
          <w:kern w:val="0"/>
          <w:sz w:val="24"/>
          <w:highlight w:val="none"/>
        </w:rPr>
      </w:pPr>
      <w:r>
        <w:rPr>
          <w:rFonts w:hint="eastAsia" w:hAnsi="宋体" w:cs="Times New Roman"/>
          <w:color w:val="auto"/>
          <w:kern w:val="0"/>
          <w:sz w:val="24"/>
          <w:highlight w:val="none"/>
        </w:rPr>
        <w:t>1、采购人信息</w:t>
      </w:r>
    </w:p>
    <w:p>
      <w:pPr>
        <w:widowControl/>
        <w:spacing w:line="360" w:lineRule="auto"/>
        <w:ind w:firstLine="480" w:firstLineChars="200"/>
        <w:jc w:val="left"/>
        <w:textAlignment w:val="center"/>
        <w:rPr>
          <w:rFonts w:hAnsi="宋体" w:cs="Times New Roman"/>
          <w:color w:val="auto"/>
          <w:kern w:val="0"/>
          <w:sz w:val="24"/>
          <w:highlight w:val="none"/>
        </w:rPr>
      </w:pPr>
      <w:r>
        <w:rPr>
          <w:rFonts w:hint="eastAsia" w:hAnsi="宋体" w:cs="Times New Roman"/>
          <w:color w:val="auto"/>
          <w:kern w:val="0"/>
          <w:sz w:val="24"/>
          <w:highlight w:val="none"/>
        </w:rPr>
        <w:t> 名称：</w:t>
      </w:r>
      <w:r>
        <w:rPr>
          <w:rFonts w:hint="eastAsia" w:hAnsi="宋体" w:cs="Times New Roman"/>
          <w:color w:val="auto"/>
          <w:kern w:val="0"/>
          <w:sz w:val="24"/>
          <w:highlight w:val="none"/>
          <w:lang w:eastAsia="zh-CN"/>
        </w:rPr>
        <w:t>菏泽职业学院</w:t>
      </w:r>
      <w:r>
        <w:rPr>
          <w:rFonts w:hint="eastAsia" w:hAnsi="宋体" w:cs="Times New Roman"/>
          <w:color w:val="auto"/>
          <w:kern w:val="0"/>
          <w:sz w:val="24"/>
          <w:highlight w:val="none"/>
        </w:rPr>
        <w:t>；</w:t>
      </w:r>
    </w:p>
    <w:p>
      <w:pPr>
        <w:widowControl/>
        <w:spacing w:line="360" w:lineRule="auto"/>
        <w:ind w:firstLine="480" w:firstLineChars="200"/>
        <w:jc w:val="left"/>
        <w:textAlignment w:val="center"/>
        <w:rPr>
          <w:rFonts w:hint="eastAsia" w:hAnsi="宋体" w:eastAsia="宋体" w:cs="Times New Roman"/>
          <w:color w:val="auto"/>
          <w:kern w:val="0"/>
          <w:sz w:val="24"/>
          <w:highlight w:val="none"/>
          <w:lang w:eastAsia="zh-CN"/>
        </w:rPr>
      </w:pPr>
      <w:r>
        <w:rPr>
          <w:rFonts w:hint="eastAsia" w:hAnsi="宋体" w:cs="Times New Roman"/>
          <w:color w:val="auto"/>
          <w:kern w:val="0"/>
          <w:sz w:val="24"/>
          <w:highlight w:val="none"/>
        </w:rPr>
        <w:t xml:space="preserve">  地址：</w:t>
      </w:r>
      <w:r>
        <w:rPr>
          <w:rFonts w:hint="eastAsia" w:hAnsi="宋体"/>
          <w:color w:val="auto"/>
          <w:sz w:val="24"/>
          <w:szCs w:val="24"/>
          <w:highlight w:val="none"/>
        </w:rPr>
        <w:t>菏泽市牡丹区长城路999号</w:t>
      </w:r>
      <w:r>
        <w:rPr>
          <w:rFonts w:hint="eastAsia" w:hAnsi="宋体"/>
          <w:color w:val="auto"/>
          <w:sz w:val="24"/>
          <w:szCs w:val="24"/>
          <w:highlight w:val="none"/>
          <w:lang w:eastAsia="zh-CN"/>
        </w:rPr>
        <w:t>；</w:t>
      </w:r>
    </w:p>
    <w:p>
      <w:pPr>
        <w:widowControl/>
        <w:spacing w:line="360" w:lineRule="auto"/>
        <w:ind w:firstLine="480" w:firstLineChars="200"/>
        <w:jc w:val="left"/>
        <w:textAlignment w:val="center"/>
        <w:rPr>
          <w:rFonts w:hint="eastAsia" w:hAnsi="宋体" w:eastAsia="宋体" w:cs="Times New Roman"/>
          <w:color w:val="auto"/>
          <w:kern w:val="0"/>
          <w:sz w:val="24"/>
          <w:highlight w:val="none"/>
          <w:lang w:val="en-US" w:eastAsia="zh-CN"/>
        </w:rPr>
      </w:pPr>
      <w:r>
        <w:rPr>
          <w:rFonts w:hint="eastAsia" w:hAnsi="宋体" w:cs="Times New Roman"/>
          <w:color w:val="auto"/>
          <w:kern w:val="0"/>
          <w:sz w:val="24"/>
          <w:highlight w:val="none"/>
        </w:rPr>
        <w:t xml:space="preserve">  </w:t>
      </w:r>
      <w:r>
        <w:rPr>
          <w:rFonts w:hint="eastAsia" w:hAnsi="宋体" w:cs="Times New Roman"/>
          <w:color w:val="auto"/>
          <w:kern w:val="0"/>
          <w:sz w:val="24"/>
          <w:highlight w:val="none"/>
          <w:lang w:val="en-US" w:eastAsia="zh-CN"/>
        </w:rPr>
        <w:t>联系人：</w:t>
      </w:r>
      <w:r>
        <w:rPr>
          <w:rFonts w:hint="eastAsia" w:hAnsi="宋体" w:cs="Times New Roman"/>
          <w:color w:val="auto"/>
          <w:kern w:val="0"/>
          <w:sz w:val="24"/>
          <w:highlight w:val="none"/>
        </w:rPr>
        <w:t xml:space="preserve">李老师 </w:t>
      </w:r>
      <w:r>
        <w:rPr>
          <w:rFonts w:hint="eastAsia" w:hAnsi="宋体" w:cs="Times New Roman"/>
          <w:color w:val="auto"/>
          <w:kern w:val="0"/>
          <w:sz w:val="24"/>
          <w:highlight w:val="none"/>
          <w:lang w:val="en-US" w:eastAsia="zh-CN"/>
        </w:rPr>
        <w:t xml:space="preserve"> </w:t>
      </w:r>
      <w:r>
        <w:rPr>
          <w:rFonts w:hint="eastAsia" w:hAnsi="宋体" w:cs="Times New Roman"/>
          <w:color w:val="auto"/>
          <w:kern w:val="0"/>
          <w:sz w:val="24"/>
          <w:highlight w:val="none"/>
        </w:rPr>
        <w:t>梁</w:t>
      </w:r>
      <w:r>
        <w:rPr>
          <w:rFonts w:hint="eastAsia" w:hAnsi="宋体" w:cs="Times New Roman"/>
          <w:color w:val="auto"/>
          <w:kern w:val="0"/>
          <w:sz w:val="24"/>
          <w:highlight w:val="none"/>
          <w:lang w:val="en-US" w:eastAsia="zh-CN"/>
        </w:rPr>
        <w:t>老师</w:t>
      </w:r>
    </w:p>
    <w:p>
      <w:pPr>
        <w:widowControl/>
        <w:spacing w:line="360" w:lineRule="auto"/>
        <w:ind w:firstLine="720" w:firstLineChars="300"/>
        <w:jc w:val="left"/>
        <w:textAlignment w:val="center"/>
        <w:rPr>
          <w:rFonts w:hAnsi="宋体" w:cs="Times New Roman"/>
          <w:color w:val="auto"/>
          <w:kern w:val="0"/>
          <w:sz w:val="24"/>
          <w:highlight w:val="none"/>
        </w:rPr>
      </w:pPr>
      <w:r>
        <w:rPr>
          <w:rFonts w:hint="eastAsia" w:hAnsi="宋体" w:cs="Times New Roman"/>
          <w:color w:val="auto"/>
          <w:kern w:val="0"/>
          <w:sz w:val="24"/>
          <w:highlight w:val="none"/>
        </w:rPr>
        <w:t xml:space="preserve">联系方式：15865082978 </w:t>
      </w:r>
      <w:r>
        <w:rPr>
          <w:rFonts w:hint="eastAsia" w:hAnsi="宋体" w:cs="Times New Roman"/>
          <w:color w:val="auto"/>
          <w:kern w:val="0"/>
          <w:sz w:val="24"/>
          <w:highlight w:val="none"/>
          <w:lang w:val="en-US" w:eastAsia="zh-CN"/>
        </w:rPr>
        <w:t xml:space="preserve"> </w:t>
      </w:r>
      <w:r>
        <w:rPr>
          <w:rFonts w:hint="eastAsia" w:hAnsi="宋体" w:cs="Times New Roman"/>
          <w:color w:val="auto"/>
          <w:kern w:val="0"/>
          <w:sz w:val="24"/>
          <w:highlight w:val="none"/>
        </w:rPr>
        <w:t>18653005700</w:t>
      </w:r>
    </w:p>
    <w:p>
      <w:pPr>
        <w:widowControl/>
        <w:spacing w:line="360" w:lineRule="auto"/>
        <w:ind w:firstLine="480" w:firstLineChars="200"/>
        <w:jc w:val="left"/>
        <w:textAlignment w:val="center"/>
        <w:rPr>
          <w:rFonts w:hAnsi="宋体" w:cs="Times New Roman"/>
          <w:color w:val="auto"/>
          <w:kern w:val="0"/>
          <w:sz w:val="24"/>
          <w:highlight w:val="none"/>
        </w:rPr>
      </w:pPr>
      <w:r>
        <w:rPr>
          <w:rFonts w:hint="eastAsia" w:hAnsi="宋体" w:cs="Times New Roman"/>
          <w:color w:val="auto"/>
          <w:kern w:val="0"/>
          <w:sz w:val="24"/>
          <w:highlight w:val="none"/>
        </w:rPr>
        <w:t>2、采购代理机构</w:t>
      </w:r>
    </w:p>
    <w:p>
      <w:pPr>
        <w:widowControl/>
        <w:spacing w:line="360" w:lineRule="auto"/>
        <w:ind w:firstLine="720" w:firstLineChars="300"/>
        <w:jc w:val="left"/>
        <w:textAlignment w:val="center"/>
        <w:rPr>
          <w:rFonts w:hAnsi="宋体" w:cs="Times New Roman"/>
          <w:color w:val="auto"/>
          <w:kern w:val="0"/>
          <w:sz w:val="24"/>
          <w:highlight w:val="none"/>
        </w:rPr>
      </w:pPr>
      <w:r>
        <w:rPr>
          <w:rFonts w:hint="eastAsia" w:hAnsi="宋体" w:cs="Times New Roman"/>
          <w:color w:val="auto"/>
          <w:kern w:val="0"/>
          <w:sz w:val="24"/>
          <w:highlight w:val="none"/>
        </w:rPr>
        <w:t>名称：山东华标招标有限公司</w:t>
      </w:r>
      <w:r>
        <w:rPr>
          <w:rFonts w:hint="eastAsia" w:hAnsi="宋体" w:cs="Times New Roman"/>
          <w:color w:val="auto"/>
          <w:kern w:val="0"/>
          <w:sz w:val="24"/>
          <w:highlight w:val="none"/>
        </w:rPr>
        <w:tab/>
      </w:r>
    </w:p>
    <w:p>
      <w:pPr>
        <w:widowControl/>
        <w:spacing w:line="360" w:lineRule="auto"/>
        <w:ind w:firstLine="480" w:firstLineChars="200"/>
        <w:jc w:val="left"/>
        <w:textAlignment w:val="center"/>
        <w:rPr>
          <w:rFonts w:hAnsi="宋体" w:cs="Times New Roman"/>
          <w:color w:val="auto"/>
          <w:kern w:val="0"/>
          <w:sz w:val="24"/>
          <w:highlight w:val="none"/>
        </w:rPr>
      </w:pPr>
      <w:r>
        <w:rPr>
          <w:rFonts w:hint="eastAsia" w:hAnsi="宋体" w:cs="Times New Roman"/>
          <w:color w:val="auto"/>
          <w:kern w:val="0"/>
          <w:sz w:val="24"/>
          <w:highlight w:val="none"/>
        </w:rPr>
        <w:t xml:space="preserve">  地址：</w:t>
      </w:r>
      <w:r>
        <w:rPr>
          <w:rFonts w:hint="eastAsia" w:hAnsi="宋体"/>
          <w:color w:val="auto"/>
          <w:kern w:val="0"/>
          <w:sz w:val="24"/>
          <w:highlight w:val="none"/>
        </w:rPr>
        <w:t>菏泽市人民路与八一路交汇处帝都大厦一单元22003室</w:t>
      </w:r>
    </w:p>
    <w:p>
      <w:pPr>
        <w:widowControl/>
        <w:spacing w:line="360" w:lineRule="auto"/>
        <w:ind w:firstLine="480" w:firstLineChars="200"/>
        <w:jc w:val="left"/>
        <w:textAlignment w:val="center"/>
        <w:rPr>
          <w:rFonts w:hAnsi="宋体" w:cs="Times New Roman"/>
          <w:color w:val="auto"/>
          <w:kern w:val="0"/>
          <w:sz w:val="24"/>
          <w:highlight w:val="none"/>
        </w:rPr>
      </w:pPr>
      <w:r>
        <w:rPr>
          <w:rFonts w:hint="eastAsia" w:hAnsi="宋体" w:cs="Times New Roman"/>
          <w:color w:val="auto"/>
          <w:kern w:val="0"/>
          <w:sz w:val="24"/>
          <w:highlight w:val="none"/>
        </w:rPr>
        <w:t xml:space="preserve">  联系方式：0530-5583830 ；15553054488</w:t>
      </w:r>
    </w:p>
    <w:p>
      <w:pPr>
        <w:widowControl/>
        <w:spacing w:line="360" w:lineRule="auto"/>
        <w:ind w:firstLine="480" w:firstLineChars="200"/>
        <w:jc w:val="left"/>
        <w:textAlignment w:val="center"/>
        <w:rPr>
          <w:rFonts w:hAnsi="宋体" w:cs="Times New Roman"/>
          <w:color w:val="auto"/>
          <w:kern w:val="0"/>
          <w:sz w:val="24"/>
          <w:highlight w:val="none"/>
        </w:rPr>
      </w:pPr>
      <w:r>
        <w:rPr>
          <w:rFonts w:hint="eastAsia" w:hAnsi="宋体" w:cs="Times New Roman"/>
          <w:color w:val="auto"/>
          <w:kern w:val="0"/>
          <w:sz w:val="24"/>
          <w:highlight w:val="none"/>
        </w:rPr>
        <w:t>3、项目联系方式：</w:t>
      </w:r>
    </w:p>
    <w:p>
      <w:pPr>
        <w:widowControl/>
        <w:spacing w:line="360" w:lineRule="auto"/>
        <w:ind w:firstLine="720" w:firstLineChars="300"/>
        <w:jc w:val="left"/>
        <w:textAlignment w:val="center"/>
        <w:rPr>
          <w:rFonts w:hAnsi="宋体" w:cs="Times New Roman"/>
          <w:color w:val="auto"/>
          <w:kern w:val="0"/>
          <w:sz w:val="24"/>
          <w:highlight w:val="none"/>
        </w:rPr>
      </w:pPr>
      <w:r>
        <w:rPr>
          <w:rFonts w:hint="eastAsia" w:hAnsi="宋体" w:cs="Times New Roman"/>
          <w:color w:val="auto"/>
          <w:kern w:val="0"/>
          <w:sz w:val="24"/>
          <w:highlight w:val="none"/>
        </w:rPr>
        <w:t>联系人：</w:t>
      </w:r>
      <w:r>
        <w:rPr>
          <w:rFonts w:hint="eastAsia" w:hAnsi="宋体" w:cs="Times New Roman"/>
          <w:color w:val="auto"/>
          <w:kern w:val="0"/>
          <w:sz w:val="24"/>
          <w:highlight w:val="none"/>
          <w:lang w:val="en-US" w:eastAsia="zh-CN"/>
        </w:rPr>
        <w:t>段</w:t>
      </w:r>
      <w:r>
        <w:rPr>
          <w:rFonts w:hint="eastAsia" w:hAnsi="宋体" w:cs="Times New Roman"/>
          <w:color w:val="auto"/>
          <w:kern w:val="0"/>
          <w:sz w:val="24"/>
          <w:highlight w:val="none"/>
        </w:rPr>
        <w:t>女士</w:t>
      </w:r>
    </w:p>
    <w:p>
      <w:pPr>
        <w:widowControl/>
        <w:spacing w:line="360" w:lineRule="auto"/>
        <w:ind w:firstLine="720" w:firstLineChars="300"/>
        <w:jc w:val="left"/>
        <w:textAlignment w:val="center"/>
        <w:rPr>
          <w:rFonts w:hAnsi="宋体" w:cs="Times New Roman"/>
          <w:color w:val="auto"/>
          <w:kern w:val="0"/>
          <w:sz w:val="24"/>
          <w:highlight w:val="none"/>
        </w:rPr>
      </w:pPr>
      <w:r>
        <w:rPr>
          <w:rFonts w:hint="eastAsia" w:hAnsi="宋体" w:cs="Times New Roman"/>
          <w:color w:val="auto"/>
          <w:kern w:val="0"/>
          <w:sz w:val="24"/>
          <w:highlight w:val="none"/>
        </w:rPr>
        <w:t>联系方式：0530-5583830 ；15553054488</w:t>
      </w:r>
    </w:p>
    <w:bookmarkEnd w:id="122"/>
    <w:p>
      <w:pPr>
        <w:widowControl/>
        <w:spacing w:line="360" w:lineRule="auto"/>
        <w:ind w:firstLine="720" w:firstLineChars="200"/>
        <w:jc w:val="left"/>
        <w:textAlignment w:val="center"/>
        <w:rPr>
          <w:rFonts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br w:type="page"/>
      </w:r>
      <w:bookmarkStart w:id="9" w:name="_Toc2914"/>
      <w:r>
        <w:rPr>
          <w:rFonts w:hint="eastAsia" w:asciiTheme="minorEastAsia" w:hAnsiTheme="minorEastAsia" w:eastAsiaTheme="minorEastAsia" w:cstheme="minorEastAsia"/>
          <w:color w:val="auto"/>
          <w:sz w:val="36"/>
          <w:szCs w:val="36"/>
          <w:highlight w:val="none"/>
        </w:rPr>
        <w:t xml:space="preserve">              </w:t>
      </w:r>
      <w:r>
        <w:rPr>
          <w:rFonts w:hint="eastAsia" w:asciiTheme="minorEastAsia" w:hAnsiTheme="minorEastAsia" w:eastAsiaTheme="minorEastAsia" w:cstheme="minorEastAsia"/>
          <w:b/>
          <w:bCs/>
          <w:color w:val="auto"/>
          <w:kern w:val="44"/>
          <w:sz w:val="36"/>
          <w:szCs w:val="36"/>
          <w:highlight w:val="none"/>
        </w:rPr>
        <w:t>第二部分 供应商须知</w:t>
      </w:r>
      <w:bookmarkEnd w:id="5"/>
      <w:bookmarkEnd w:id="6"/>
      <w:bookmarkEnd w:id="7"/>
      <w:bookmarkEnd w:id="8"/>
      <w:bookmarkEnd w:id="9"/>
    </w:p>
    <w:p>
      <w:pPr>
        <w:pStyle w:val="14"/>
        <w:spacing w:line="460" w:lineRule="exact"/>
        <w:ind w:firstLine="0" w:firstLineChars="0"/>
        <w:jc w:val="center"/>
        <w:rPr>
          <w:rFonts w:asciiTheme="minorEastAsia" w:hAnsiTheme="minorEastAsia" w:eastAsiaTheme="minorEastAsia" w:cstheme="minorEastAsia"/>
          <w:b/>
          <w:bCs/>
          <w:color w:val="auto"/>
          <w:sz w:val="28"/>
          <w:szCs w:val="28"/>
          <w:highlight w:val="none"/>
        </w:rPr>
      </w:pPr>
      <w:bookmarkStart w:id="10" w:name="_Toc462062131"/>
      <w:bookmarkStart w:id="11" w:name="_Toc462062640"/>
      <w:bookmarkStart w:id="12" w:name="_Toc325620703"/>
      <w:bookmarkStart w:id="13" w:name="_Toc332979544"/>
      <w:r>
        <w:rPr>
          <w:rFonts w:hint="eastAsia" w:asciiTheme="minorEastAsia" w:hAnsiTheme="minorEastAsia" w:eastAsiaTheme="minorEastAsia" w:cstheme="minorEastAsia"/>
          <w:b/>
          <w:bCs/>
          <w:color w:val="auto"/>
          <w:sz w:val="28"/>
          <w:szCs w:val="28"/>
          <w:highlight w:val="none"/>
        </w:rPr>
        <w:t>供应商须知前附表</w:t>
      </w:r>
      <w:bookmarkEnd w:id="10"/>
      <w:bookmarkEnd w:id="11"/>
    </w:p>
    <w:tbl>
      <w:tblPr>
        <w:tblStyle w:val="32"/>
        <w:tblW w:w="9494" w:type="dxa"/>
        <w:jc w:val="center"/>
        <w:tblLayout w:type="fixed"/>
        <w:tblCellMar>
          <w:top w:w="0" w:type="dxa"/>
          <w:left w:w="108" w:type="dxa"/>
          <w:bottom w:w="0" w:type="dxa"/>
          <w:right w:w="108" w:type="dxa"/>
        </w:tblCellMar>
      </w:tblPr>
      <w:tblGrid>
        <w:gridCol w:w="503"/>
        <w:gridCol w:w="1920"/>
        <w:gridCol w:w="7071"/>
      </w:tblGrid>
      <w:tr>
        <w:tblPrEx>
          <w:tblCellMar>
            <w:top w:w="0" w:type="dxa"/>
            <w:left w:w="108" w:type="dxa"/>
            <w:bottom w:w="0" w:type="dxa"/>
            <w:right w:w="108" w:type="dxa"/>
          </w:tblCellMar>
        </w:tblPrEx>
        <w:trPr>
          <w:trHeight w:val="609" w:hRule="atLeast"/>
          <w:tblHeader/>
          <w:jc w:val="center"/>
        </w:trPr>
        <w:tc>
          <w:tcPr>
            <w:tcW w:w="503" w:type="dxa"/>
            <w:tcBorders>
              <w:top w:val="single" w:color="auto" w:sz="4" w:space="0"/>
              <w:left w:val="single" w:color="auto" w:sz="4" w:space="0"/>
              <w:bottom w:val="single" w:color="auto" w:sz="4" w:space="0"/>
              <w:right w:val="single" w:color="auto" w:sz="4" w:space="0"/>
            </w:tcBorders>
            <w:vAlign w:val="center"/>
          </w:tcPr>
          <w:p>
            <w:pPr>
              <w:jc w:val="center"/>
              <w:rPr>
                <w:rFonts w:hAnsi="宋体"/>
                <w:b/>
                <w:color w:val="auto"/>
                <w:sz w:val="24"/>
                <w:szCs w:val="24"/>
                <w:highlight w:val="none"/>
              </w:rPr>
            </w:pPr>
            <w:r>
              <w:rPr>
                <w:rFonts w:hint="eastAsia" w:hAnsi="宋体"/>
                <w:b/>
                <w:color w:val="auto"/>
                <w:sz w:val="24"/>
                <w:szCs w:val="24"/>
                <w:highlight w:val="none"/>
              </w:rPr>
              <w:t>序号</w:t>
            </w: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b/>
                <w:color w:val="auto"/>
                <w:sz w:val="24"/>
                <w:szCs w:val="24"/>
                <w:highlight w:val="none"/>
              </w:rPr>
            </w:pPr>
            <w:r>
              <w:rPr>
                <w:rFonts w:hint="eastAsia" w:hAnsi="宋体"/>
                <w:b/>
                <w:color w:val="auto"/>
                <w:sz w:val="24"/>
                <w:szCs w:val="24"/>
                <w:highlight w:val="none"/>
              </w:rPr>
              <w:t>条款名称</w:t>
            </w:r>
          </w:p>
        </w:tc>
        <w:tc>
          <w:tcPr>
            <w:tcW w:w="7071" w:type="dxa"/>
            <w:tcBorders>
              <w:top w:val="single" w:color="auto" w:sz="4" w:space="0"/>
              <w:left w:val="single" w:color="auto" w:sz="4" w:space="0"/>
              <w:bottom w:val="single" w:color="auto" w:sz="4" w:space="0"/>
              <w:right w:val="single" w:color="auto" w:sz="4" w:space="0"/>
            </w:tcBorders>
            <w:vAlign w:val="center"/>
          </w:tcPr>
          <w:p>
            <w:pPr>
              <w:rPr>
                <w:rFonts w:hAnsi="宋体"/>
                <w:b/>
                <w:color w:val="auto"/>
                <w:sz w:val="24"/>
                <w:szCs w:val="24"/>
                <w:highlight w:val="none"/>
              </w:rPr>
            </w:pPr>
            <w:r>
              <w:rPr>
                <w:rFonts w:hint="eastAsia" w:hAnsi="宋体"/>
                <w:b/>
                <w:color w:val="auto"/>
                <w:sz w:val="24"/>
                <w:szCs w:val="24"/>
                <w:highlight w:val="none"/>
              </w:rPr>
              <w:t>编  列  内  容</w:t>
            </w:r>
          </w:p>
        </w:tc>
      </w:tr>
      <w:tr>
        <w:tblPrEx>
          <w:tblCellMar>
            <w:top w:w="0" w:type="dxa"/>
            <w:left w:w="108" w:type="dxa"/>
            <w:bottom w:w="0" w:type="dxa"/>
            <w:right w:w="108" w:type="dxa"/>
          </w:tblCellMar>
        </w:tblPrEx>
        <w:trPr>
          <w:trHeight w:val="851"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采购人</w:t>
            </w:r>
          </w:p>
        </w:tc>
        <w:tc>
          <w:tcPr>
            <w:tcW w:w="7071" w:type="dxa"/>
            <w:tcBorders>
              <w:top w:val="single" w:color="auto" w:sz="4" w:space="0"/>
              <w:left w:val="single" w:color="auto" w:sz="4" w:space="0"/>
              <w:bottom w:val="single" w:color="auto" w:sz="4" w:space="0"/>
              <w:right w:val="single" w:color="auto" w:sz="4" w:space="0"/>
            </w:tcBorders>
            <w:vAlign w:val="center"/>
          </w:tcPr>
          <w:p>
            <w:pPr>
              <w:rPr>
                <w:rFonts w:hint="eastAsia" w:hAnsi="宋体" w:eastAsia="宋体"/>
                <w:color w:val="auto"/>
                <w:sz w:val="24"/>
                <w:szCs w:val="24"/>
                <w:highlight w:val="none"/>
                <w:lang w:eastAsia="zh-CN"/>
              </w:rPr>
            </w:pPr>
            <w:r>
              <w:rPr>
                <w:rFonts w:hint="eastAsia" w:hAnsi="宋体"/>
                <w:color w:val="auto"/>
                <w:sz w:val="24"/>
                <w:szCs w:val="24"/>
                <w:highlight w:val="none"/>
                <w:lang w:eastAsia="zh-CN"/>
              </w:rPr>
              <w:t>菏泽职业学院</w:t>
            </w:r>
          </w:p>
        </w:tc>
      </w:tr>
      <w:tr>
        <w:tblPrEx>
          <w:tblCellMar>
            <w:top w:w="0" w:type="dxa"/>
            <w:left w:w="108" w:type="dxa"/>
            <w:bottom w:w="0" w:type="dxa"/>
            <w:right w:w="108" w:type="dxa"/>
          </w:tblCellMar>
        </w:tblPrEx>
        <w:trPr>
          <w:trHeight w:val="134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采购代理</w:t>
            </w:r>
          </w:p>
          <w:p>
            <w:pPr>
              <w:jc w:val="center"/>
              <w:rPr>
                <w:rFonts w:hAnsi="宋体"/>
                <w:color w:val="auto"/>
                <w:sz w:val="24"/>
                <w:szCs w:val="24"/>
                <w:highlight w:val="none"/>
              </w:rPr>
            </w:pPr>
            <w:r>
              <w:rPr>
                <w:rFonts w:hint="eastAsia" w:hAnsi="宋体"/>
                <w:color w:val="auto"/>
                <w:sz w:val="24"/>
                <w:szCs w:val="24"/>
                <w:highlight w:val="none"/>
              </w:rPr>
              <w:t>机构</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4"/>
                <w:szCs w:val="24"/>
                <w:highlight w:val="none"/>
              </w:rPr>
            </w:pPr>
            <w:r>
              <w:rPr>
                <w:rFonts w:hint="eastAsia" w:hAnsi="宋体"/>
                <w:color w:val="auto"/>
                <w:sz w:val="24"/>
                <w:szCs w:val="24"/>
                <w:highlight w:val="none"/>
              </w:rPr>
              <w:t>名称：山东华标招标有限公司</w:t>
            </w:r>
          </w:p>
          <w:p>
            <w:pPr>
              <w:spacing w:line="360" w:lineRule="auto"/>
              <w:rPr>
                <w:rFonts w:hAnsi="宋体"/>
                <w:color w:val="auto"/>
                <w:sz w:val="24"/>
                <w:szCs w:val="24"/>
                <w:highlight w:val="none"/>
              </w:rPr>
            </w:pPr>
            <w:r>
              <w:rPr>
                <w:rFonts w:hint="eastAsia" w:hAnsi="宋体"/>
                <w:color w:val="auto"/>
                <w:sz w:val="24"/>
                <w:szCs w:val="24"/>
                <w:highlight w:val="none"/>
              </w:rPr>
              <w:t>联系人：</w:t>
            </w:r>
            <w:r>
              <w:rPr>
                <w:rFonts w:hint="eastAsia" w:hAnsi="宋体"/>
                <w:color w:val="auto"/>
                <w:sz w:val="24"/>
                <w:szCs w:val="24"/>
                <w:highlight w:val="none"/>
                <w:lang w:val="en-US" w:eastAsia="zh-CN"/>
              </w:rPr>
              <w:t>段</w:t>
            </w:r>
            <w:r>
              <w:rPr>
                <w:rFonts w:hint="eastAsia" w:hAnsi="宋体"/>
                <w:color w:val="auto"/>
                <w:sz w:val="24"/>
                <w:szCs w:val="24"/>
                <w:highlight w:val="none"/>
              </w:rPr>
              <w:t>女士</w:t>
            </w:r>
          </w:p>
          <w:p>
            <w:pPr>
              <w:spacing w:line="360" w:lineRule="auto"/>
              <w:rPr>
                <w:rFonts w:hAnsi="宋体"/>
                <w:color w:val="auto"/>
                <w:sz w:val="24"/>
                <w:szCs w:val="24"/>
                <w:highlight w:val="none"/>
              </w:rPr>
            </w:pPr>
            <w:r>
              <w:rPr>
                <w:rFonts w:hint="eastAsia" w:hAnsi="宋体"/>
                <w:color w:val="auto"/>
                <w:sz w:val="24"/>
                <w:szCs w:val="24"/>
                <w:highlight w:val="none"/>
              </w:rPr>
              <w:t>电  话：0530-5583830</w:t>
            </w:r>
          </w:p>
        </w:tc>
      </w:tr>
      <w:tr>
        <w:tblPrEx>
          <w:tblCellMar>
            <w:top w:w="0" w:type="dxa"/>
            <w:left w:w="108" w:type="dxa"/>
            <w:bottom w:w="0" w:type="dxa"/>
            <w:right w:w="108" w:type="dxa"/>
          </w:tblCellMar>
        </w:tblPrEx>
        <w:trPr>
          <w:trHeight w:val="1116"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项目名称/编号</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hAnsi="宋体" w:eastAsia="宋体"/>
                <w:color w:val="auto"/>
                <w:sz w:val="24"/>
                <w:szCs w:val="24"/>
                <w:highlight w:val="none"/>
                <w:lang w:eastAsia="zh-CN"/>
              </w:rPr>
            </w:pPr>
            <w:r>
              <w:rPr>
                <w:rFonts w:hint="eastAsia" w:hAnsi="宋体"/>
                <w:bCs/>
                <w:color w:val="auto"/>
                <w:sz w:val="24"/>
                <w:szCs w:val="24"/>
                <w:highlight w:val="none"/>
              </w:rPr>
              <w:t>菏泽职业学院标准化考点建设项目/</w:t>
            </w:r>
            <w:r>
              <w:rPr>
                <w:rFonts w:hint="eastAsia" w:ascii="Times New Roman" w:hAnsi="宋体" w:cs="仿宋"/>
                <w:bCs/>
                <w:color w:val="auto"/>
                <w:sz w:val="24"/>
                <w:szCs w:val="32"/>
                <w:highlight w:val="none"/>
              </w:rPr>
              <w:t>SDGP371700000202302000081</w:t>
            </w:r>
          </w:p>
        </w:tc>
      </w:tr>
      <w:tr>
        <w:tblPrEx>
          <w:tblCellMar>
            <w:top w:w="0" w:type="dxa"/>
            <w:left w:w="108" w:type="dxa"/>
            <w:bottom w:w="0" w:type="dxa"/>
            <w:right w:w="108" w:type="dxa"/>
          </w:tblCellMar>
        </w:tblPrEx>
        <w:trPr>
          <w:trHeight w:val="684"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预算金额</w:t>
            </w:r>
          </w:p>
          <w:p>
            <w:pPr>
              <w:jc w:val="center"/>
              <w:rPr>
                <w:rFonts w:hAnsi="宋体"/>
                <w:color w:val="auto"/>
                <w:sz w:val="24"/>
                <w:szCs w:val="24"/>
                <w:highlight w:val="none"/>
              </w:rPr>
            </w:pPr>
            <w:r>
              <w:rPr>
                <w:rFonts w:hint="eastAsia" w:hAnsi="宋体"/>
                <w:color w:val="auto"/>
                <w:sz w:val="24"/>
                <w:szCs w:val="24"/>
                <w:highlight w:val="none"/>
              </w:rPr>
              <w:t>（人民币）</w:t>
            </w:r>
          </w:p>
        </w:tc>
        <w:tc>
          <w:tcPr>
            <w:tcW w:w="7071" w:type="dxa"/>
            <w:tcBorders>
              <w:top w:val="single" w:color="auto" w:sz="4" w:space="0"/>
              <w:left w:val="single" w:color="auto" w:sz="4" w:space="0"/>
              <w:bottom w:val="single" w:color="auto" w:sz="4" w:space="0"/>
              <w:right w:val="single" w:color="auto" w:sz="4" w:space="0"/>
            </w:tcBorders>
            <w:vAlign w:val="center"/>
          </w:tcPr>
          <w:p>
            <w:pPr>
              <w:rPr>
                <w:rFonts w:hAnsi="宋体"/>
                <w:color w:val="auto"/>
                <w:sz w:val="24"/>
                <w:szCs w:val="24"/>
                <w:highlight w:val="none"/>
              </w:rPr>
            </w:pPr>
            <w:r>
              <w:rPr>
                <w:rFonts w:hint="eastAsia" w:hAnsi="宋体" w:cs="仿宋"/>
                <w:color w:val="auto"/>
                <w:sz w:val="24"/>
                <w:highlight w:val="none"/>
                <w:lang w:val="en-US" w:eastAsia="zh-CN"/>
              </w:rPr>
              <w:t>117.28</w:t>
            </w:r>
            <w:r>
              <w:rPr>
                <w:rFonts w:hint="eastAsia" w:hAnsi="宋体"/>
                <w:color w:val="auto"/>
                <w:sz w:val="24"/>
                <w:szCs w:val="24"/>
                <w:highlight w:val="none"/>
              </w:rPr>
              <w:t>万元。</w:t>
            </w:r>
          </w:p>
        </w:tc>
      </w:tr>
      <w:tr>
        <w:tblPrEx>
          <w:tblCellMar>
            <w:top w:w="0" w:type="dxa"/>
            <w:left w:w="108" w:type="dxa"/>
            <w:bottom w:w="0" w:type="dxa"/>
            <w:right w:w="108" w:type="dxa"/>
          </w:tblCellMar>
        </w:tblPrEx>
        <w:trPr>
          <w:trHeight w:val="705"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招标方式</w:t>
            </w:r>
          </w:p>
        </w:tc>
        <w:tc>
          <w:tcPr>
            <w:tcW w:w="7071" w:type="dxa"/>
            <w:tcBorders>
              <w:top w:val="single" w:color="auto" w:sz="4" w:space="0"/>
              <w:left w:val="single" w:color="auto" w:sz="4" w:space="0"/>
              <w:bottom w:val="single" w:color="auto" w:sz="4" w:space="0"/>
              <w:right w:val="single" w:color="auto" w:sz="4" w:space="0"/>
            </w:tcBorders>
            <w:vAlign w:val="center"/>
          </w:tcPr>
          <w:p>
            <w:pPr>
              <w:rPr>
                <w:rFonts w:hAnsi="宋体"/>
                <w:color w:val="auto"/>
                <w:sz w:val="24"/>
                <w:szCs w:val="24"/>
                <w:highlight w:val="none"/>
              </w:rPr>
            </w:pPr>
            <w:r>
              <w:rPr>
                <w:rFonts w:hint="eastAsia" w:hAnsi="宋体"/>
                <w:color w:val="auto"/>
                <w:sz w:val="24"/>
                <w:szCs w:val="24"/>
                <w:highlight w:val="none"/>
              </w:rPr>
              <w:t>竞争性磋商</w:t>
            </w:r>
          </w:p>
        </w:tc>
      </w:tr>
      <w:tr>
        <w:tblPrEx>
          <w:tblCellMar>
            <w:top w:w="0" w:type="dxa"/>
            <w:left w:w="108" w:type="dxa"/>
            <w:bottom w:w="0" w:type="dxa"/>
            <w:right w:w="108" w:type="dxa"/>
          </w:tblCellMar>
        </w:tblPrEx>
        <w:trPr>
          <w:trHeight w:val="667"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供应商</w:t>
            </w:r>
          </w:p>
          <w:p>
            <w:pPr>
              <w:jc w:val="center"/>
              <w:rPr>
                <w:rFonts w:hAnsi="宋体"/>
                <w:color w:val="auto"/>
                <w:sz w:val="24"/>
                <w:szCs w:val="24"/>
                <w:highlight w:val="none"/>
              </w:rPr>
            </w:pPr>
            <w:r>
              <w:rPr>
                <w:rFonts w:hint="eastAsia" w:hAnsi="宋体"/>
                <w:color w:val="auto"/>
                <w:sz w:val="24"/>
                <w:szCs w:val="24"/>
                <w:highlight w:val="none"/>
              </w:rPr>
              <w:t>资格要求</w:t>
            </w:r>
          </w:p>
        </w:tc>
        <w:tc>
          <w:tcPr>
            <w:tcW w:w="7071" w:type="dxa"/>
            <w:tcBorders>
              <w:top w:val="single" w:color="auto" w:sz="4" w:space="0"/>
              <w:left w:val="single" w:color="auto" w:sz="4" w:space="0"/>
              <w:bottom w:val="single" w:color="auto" w:sz="4" w:space="0"/>
              <w:right w:val="single" w:color="auto" w:sz="4" w:space="0"/>
            </w:tcBorders>
            <w:vAlign w:val="center"/>
          </w:tcPr>
          <w:p>
            <w:pPr>
              <w:rPr>
                <w:rFonts w:hAnsi="宋体"/>
                <w:color w:val="auto"/>
                <w:sz w:val="24"/>
                <w:szCs w:val="24"/>
                <w:highlight w:val="none"/>
              </w:rPr>
            </w:pPr>
            <w:r>
              <w:rPr>
                <w:rFonts w:hint="eastAsia" w:hAnsi="宋体"/>
                <w:color w:val="auto"/>
                <w:sz w:val="24"/>
                <w:szCs w:val="24"/>
                <w:highlight w:val="none"/>
              </w:rPr>
              <w:t>详见第一部分竞争性磋商公告</w:t>
            </w:r>
          </w:p>
        </w:tc>
      </w:tr>
      <w:tr>
        <w:tblPrEx>
          <w:tblCellMar>
            <w:top w:w="0" w:type="dxa"/>
            <w:left w:w="108" w:type="dxa"/>
            <w:bottom w:w="0" w:type="dxa"/>
            <w:right w:w="108" w:type="dxa"/>
          </w:tblCellMar>
        </w:tblPrEx>
        <w:trPr>
          <w:trHeight w:val="753"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踏勘现场</w:t>
            </w:r>
          </w:p>
        </w:tc>
        <w:tc>
          <w:tcPr>
            <w:tcW w:w="7071" w:type="dxa"/>
            <w:tcBorders>
              <w:top w:val="single" w:color="auto" w:sz="4" w:space="0"/>
              <w:left w:val="single" w:color="auto" w:sz="4" w:space="0"/>
              <w:bottom w:val="single" w:color="auto" w:sz="4" w:space="0"/>
              <w:right w:val="single" w:color="auto" w:sz="4" w:space="0"/>
            </w:tcBorders>
            <w:vAlign w:val="center"/>
          </w:tcPr>
          <w:p>
            <w:pPr>
              <w:rPr>
                <w:rFonts w:hAnsi="宋体"/>
                <w:color w:val="auto"/>
                <w:kern w:val="0"/>
                <w:sz w:val="24"/>
                <w:szCs w:val="24"/>
                <w:highlight w:val="none"/>
              </w:rPr>
            </w:pPr>
            <w:r>
              <w:rPr>
                <w:rFonts w:hint="eastAsia" w:hAnsi="宋体"/>
                <w:color w:val="auto"/>
                <w:sz w:val="24"/>
                <w:szCs w:val="24"/>
                <w:highlight w:val="none"/>
              </w:rPr>
              <w:t>不组织，自行踏勘</w:t>
            </w:r>
          </w:p>
        </w:tc>
      </w:tr>
      <w:tr>
        <w:tblPrEx>
          <w:tblCellMar>
            <w:top w:w="0" w:type="dxa"/>
            <w:left w:w="108" w:type="dxa"/>
            <w:bottom w:w="0" w:type="dxa"/>
            <w:right w:w="108" w:type="dxa"/>
          </w:tblCellMar>
        </w:tblPrEx>
        <w:trPr>
          <w:trHeight w:val="688"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投标有效期</w:t>
            </w:r>
          </w:p>
        </w:tc>
        <w:tc>
          <w:tcPr>
            <w:tcW w:w="7071" w:type="dxa"/>
            <w:tcBorders>
              <w:top w:val="single" w:color="auto" w:sz="4" w:space="0"/>
              <w:left w:val="single" w:color="auto" w:sz="4" w:space="0"/>
              <w:bottom w:val="single" w:color="auto" w:sz="4" w:space="0"/>
              <w:right w:val="single" w:color="auto" w:sz="4" w:space="0"/>
            </w:tcBorders>
            <w:vAlign w:val="center"/>
          </w:tcPr>
          <w:p>
            <w:pPr>
              <w:rPr>
                <w:rFonts w:hAnsi="宋体"/>
                <w:color w:val="auto"/>
                <w:sz w:val="24"/>
                <w:szCs w:val="24"/>
                <w:highlight w:val="none"/>
              </w:rPr>
            </w:pPr>
            <w:r>
              <w:rPr>
                <w:rFonts w:hint="eastAsia" w:hAnsi="宋体"/>
                <w:color w:val="auto"/>
                <w:sz w:val="24"/>
                <w:szCs w:val="24"/>
                <w:highlight w:val="none"/>
              </w:rPr>
              <w:t>90 日历天。(从投标截止之日算起)</w:t>
            </w:r>
          </w:p>
        </w:tc>
      </w:tr>
      <w:tr>
        <w:tblPrEx>
          <w:tblCellMar>
            <w:top w:w="0" w:type="dxa"/>
            <w:left w:w="108" w:type="dxa"/>
            <w:bottom w:w="0" w:type="dxa"/>
            <w:right w:w="108" w:type="dxa"/>
          </w:tblCellMar>
        </w:tblPrEx>
        <w:trPr>
          <w:trHeight w:val="688"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报价币种</w:t>
            </w:r>
          </w:p>
        </w:tc>
        <w:tc>
          <w:tcPr>
            <w:tcW w:w="7071" w:type="dxa"/>
            <w:tcBorders>
              <w:top w:val="single" w:color="auto" w:sz="4" w:space="0"/>
              <w:left w:val="single" w:color="auto" w:sz="4" w:space="0"/>
              <w:bottom w:val="single" w:color="auto" w:sz="4" w:space="0"/>
              <w:right w:val="single" w:color="auto" w:sz="4" w:space="0"/>
            </w:tcBorders>
            <w:vAlign w:val="center"/>
          </w:tcPr>
          <w:p>
            <w:pPr>
              <w:rPr>
                <w:rFonts w:hAnsi="宋体"/>
                <w:color w:val="auto"/>
                <w:sz w:val="24"/>
                <w:szCs w:val="24"/>
                <w:highlight w:val="none"/>
              </w:rPr>
            </w:pPr>
            <w:r>
              <w:rPr>
                <w:rFonts w:hint="eastAsia" w:hAnsi="宋体"/>
                <w:color w:val="auto"/>
                <w:sz w:val="24"/>
                <w:szCs w:val="24"/>
                <w:highlight w:val="none"/>
              </w:rPr>
              <w:t>以人民币报价。</w:t>
            </w:r>
          </w:p>
        </w:tc>
      </w:tr>
      <w:tr>
        <w:tblPrEx>
          <w:tblCellMar>
            <w:top w:w="0" w:type="dxa"/>
            <w:left w:w="108" w:type="dxa"/>
            <w:bottom w:w="0" w:type="dxa"/>
            <w:right w:w="108" w:type="dxa"/>
          </w:tblCellMar>
        </w:tblPrEx>
        <w:trPr>
          <w:trHeight w:val="688"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备选方案</w:t>
            </w:r>
          </w:p>
        </w:tc>
        <w:tc>
          <w:tcPr>
            <w:tcW w:w="7071" w:type="dxa"/>
            <w:tcBorders>
              <w:top w:val="single" w:color="auto" w:sz="4" w:space="0"/>
              <w:left w:val="single" w:color="auto" w:sz="4" w:space="0"/>
              <w:bottom w:val="single" w:color="auto" w:sz="4" w:space="0"/>
              <w:right w:val="single" w:color="auto" w:sz="4" w:space="0"/>
            </w:tcBorders>
            <w:vAlign w:val="center"/>
          </w:tcPr>
          <w:p>
            <w:pPr>
              <w:rPr>
                <w:rFonts w:hAnsi="宋体"/>
                <w:color w:val="auto"/>
                <w:sz w:val="24"/>
                <w:szCs w:val="24"/>
                <w:highlight w:val="none"/>
              </w:rPr>
            </w:pPr>
            <w:r>
              <w:rPr>
                <w:rFonts w:hint="eastAsia" w:hAnsi="宋体"/>
                <w:color w:val="auto"/>
                <w:sz w:val="24"/>
                <w:szCs w:val="24"/>
                <w:highlight w:val="none"/>
              </w:rPr>
              <w:t>不允许。</w:t>
            </w:r>
          </w:p>
        </w:tc>
      </w:tr>
      <w:tr>
        <w:tblPrEx>
          <w:tblCellMar>
            <w:top w:w="0" w:type="dxa"/>
            <w:left w:w="108" w:type="dxa"/>
            <w:bottom w:w="0" w:type="dxa"/>
            <w:right w:w="108" w:type="dxa"/>
          </w:tblCellMar>
        </w:tblPrEx>
        <w:trPr>
          <w:trHeight w:val="688"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olor w:val="auto"/>
                <w:sz w:val="24"/>
                <w:szCs w:val="24"/>
                <w:highlight w:val="none"/>
              </w:rPr>
            </w:pPr>
            <w:r>
              <w:rPr>
                <w:rFonts w:hint="eastAsia" w:hAnsi="宋体" w:eastAsia="宋体"/>
                <w:color w:val="auto"/>
                <w:sz w:val="24"/>
                <w:szCs w:val="24"/>
                <w:highlight w:val="none"/>
                <w:lang w:eastAsia="zh-CN"/>
              </w:rPr>
              <w:t>是否为专门面向中小</w:t>
            </w:r>
            <w:r>
              <w:rPr>
                <w:rFonts w:hint="eastAsia" w:hAnsi="宋体"/>
                <w:color w:val="auto"/>
                <w:sz w:val="24"/>
                <w:szCs w:val="24"/>
                <w:highlight w:val="none"/>
                <w:lang w:eastAsia="zh-CN"/>
              </w:rPr>
              <w:t>微</w:t>
            </w:r>
            <w:r>
              <w:rPr>
                <w:rFonts w:hint="eastAsia" w:hAnsi="宋体" w:eastAsia="宋体"/>
                <w:color w:val="auto"/>
                <w:sz w:val="24"/>
                <w:szCs w:val="24"/>
                <w:highlight w:val="none"/>
                <w:lang w:eastAsia="zh-CN"/>
              </w:rPr>
              <w:t>企业采购</w:t>
            </w:r>
          </w:p>
        </w:tc>
        <w:tc>
          <w:tcPr>
            <w:tcW w:w="7071" w:type="dxa"/>
            <w:tcBorders>
              <w:top w:val="single" w:color="auto" w:sz="4" w:space="0"/>
              <w:left w:val="single" w:color="auto" w:sz="4" w:space="0"/>
              <w:bottom w:val="single" w:color="auto" w:sz="4" w:space="0"/>
              <w:right w:val="single" w:color="auto" w:sz="4" w:space="0"/>
            </w:tcBorders>
            <w:vAlign w:val="center"/>
          </w:tcPr>
          <w:p>
            <w:pPr>
              <w:rPr>
                <w:rFonts w:hint="eastAsia" w:hAnsi="宋体"/>
                <w:color w:val="auto"/>
                <w:sz w:val="24"/>
                <w:szCs w:val="24"/>
                <w:highlight w:val="none"/>
              </w:rPr>
            </w:pPr>
            <w:r>
              <w:rPr>
                <w:rFonts w:hint="eastAsia" w:hAnsi="宋体"/>
                <w:color w:val="auto"/>
                <w:sz w:val="24"/>
                <w:szCs w:val="24"/>
                <w:highlight w:val="none"/>
                <w:lang w:eastAsia="zh-CN"/>
              </w:rPr>
              <w:t>是</w:t>
            </w:r>
            <w:r>
              <w:rPr>
                <w:rFonts w:hint="eastAsia" w:hAnsi="宋体"/>
                <w:color w:val="auto"/>
                <w:sz w:val="24"/>
                <w:szCs w:val="24"/>
                <w:highlight w:val="none"/>
                <w:lang w:eastAsia="zh-CN"/>
              </w:rPr>
              <w:sym w:font="Wingdings 2" w:char="00A3"/>
            </w:r>
            <w:r>
              <w:rPr>
                <w:rFonts w:hint="eastAsia" w:hAnsi="宋体"/>
                <w:color w:val="auto"/>
                <w:sz w:val="24"/>
                <w:szCs w:val="24"/>
                <w:highlight w:val="none"/>
                <w:lang w:eastAsia="zh-CN"/>
              </w:rPr>
              <w:t>；否</w:t>
            </w:r>
            <w:r>
              <w:rPr>
                <w:rFonts w:hint="eastAsia" w:hAnsi="宋体"/>
                <w:color w:val="auto"/>
                <w:sz w:val="24"/>
                <w:szCs w:val="24"/>
                <w:highlight w:val="none"/>
                <w:lang w:eastAsia="zh-CN"/>
              </w:rPr>
              <w:sym w:font="Wingdings 2" w:char="0052"/>
            </w:r>
            <w:r>
              <w:rPr>
                <w:rFonts w:hint="eastAsia" w:hAnsi="宋体"/>
                <w:color w:val="auto"/>
                <w:sz w:val="24"/>
                <w:szCs w:val="24"/>
                <w:highlight w:val="none"/>
                <w:lang w:eastAsia="zh-CN"/>
              </w:rPr>
              <w:t>。</w:t>
            </w:r>
          </w:p>
        </w:tc>
      </w:tr>
      <w:tr>
        <w:tblPrEx>
          <w:tblCellMar>
            <w:top w:w="0" w:type="dxa"/>
            <w:left w:w="108" w:type="dxa"/>
            <w:bottom w:w="0" w:type="dxa"/>
            <w:right w:w="108" w:type="dxa"/>
          </w:tblCellMar>
        </w:tblPrEx>
        <w:trPr>
          <w:trHeight w:val="30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磋商保证金</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Ansi="宋体"/>
                <w:color w:val="auto"/>
                <w:kern w:val="0"/>
                <w:sz w:val="24"/>
                <w:highlight w:val="none"/>
              </w:rPr>
            </w:pPr>
            <w:r>
              <w:rPr>
                <w:rFonts w:hint="eastAsia" w:hAnsi="宋体"/>
                <w:color w:val="auto"/>
                <w:kern w:val="0"/>
                <w:sz w:val="24"/>
                <w:highlight w:val="none"/>
              </w:rPr>
              <w:t>根据山东省鲁财采【2019】40 号文件的要求，本项目不收取投标保证金。</w:t>
            </w:r>
            <w:r>
              <w:rPr>
                <w:rFonts w:hint="eastAsia" w:hAnsi="宋体"/>
                <w:color w:val="auto"/>
                <w:kern w:val="0"/>
                <w:sz w:val="24"/>
                <w:highlight w:val="none"/>
                <w:lang w:eastAsia="zh-CN"/>
              </w:rPr>
              <w:t>供应商</w:t>
            </w:r>
            <w:r>
              <w:rPr>
                <w:rFonts w:hint="eastAsia" w:hAnsi="宋体"/>
                <w:color w:val="auto"/>
                <w:kern w:val="0"/>
                <w:sz w:val="24"/>
                <w:highlight w:val="none"/>
              </w:rPr>
              <w:t>应当全面、真实、有效地履行采购合同约定，</w:t>
            </w:r>
            <w:r>
              <w:rPr>
                <w:rFonts w:hint="eastAsia" w:hAnsi="宋体"/>
                <w:color w:val="auto"/>
                <w:kern w:val="0"/>
                <w:sz w:val="24"/>
                <w:highlight w:val="none"/>
                <w:lang w:eastAsia="zh-CN"/>
              </w:rPr>
              <w:t>采购人</w:t>
            </w:r>
            <w:r>
              <w:rPr>
                <w:rFonts w:hint="eastAsia" w:hAnsi="宋体"/>
                <w:color w:val="auto"/>
                <w:kern w:val="0"/>
                <w:sz w:val="24"/>
                <w:highlight w:val="none"/>
              </w:rPr>
              <w:t>将按照全面完整、客观真实、公开透明的原则进行验收。对于在本次政府采购活动中违反磋商文件、政府采购相关规定，出现下列情形之一的，给</w:t>
            </w:r>
            <w:r>
              <w:rPr>
                <w:rFonts w:hint="eastAsia" w:hAnsi="宋体"/>
                <w:color w:val="auto"/>
                <w:kern w:val="0"/>
                <w:sz w:val="24"/>
                <w:highlight w:val="none"/>
                <w:lang w:eastAsia="zh-CN"/>
              </w:rPr>
              <w:t>采购人</w:t>
            </w:r>
            <w:r>
              <w:rPr>
                <w:rFonts w:hint="eastAsia" w:hAnsi="宋体"/>
                <w:color w:val="auto"/>
                <w:kern w:val="0"/>
                <w:sz w:val="24"/>
                <w:highlight w:val="none"/>
              </w:rPr>
              <w:t>、</w:t>
            </w:r>
            <w:r>
              <w:rPr>
                <w:rFonts w:hint="eastAsia" w:hAnsi="宋体"/>
                <w:color w:val="auto"/>
                <w:kern w:val="0"/>
                <w:sz w:val="24"/>
                <w:highlight w:val="none"/>
                <w:lang w:eastAsia="zh-CN"/>
              </w:rPr>
              <w:t>采购</w:t>
            </w:r>
            <w:r>
              <w:rPr>
                <w:rFonts w:hint="eastAsia" w:hAnsi="宋体"/>
                <w:color w:val="auto"/>
                <w:kern w:val="0"/>
                <w:sz w:val="24"/>
                <w:highlight w:val="none"/>
              </w:rPr>
              <w:t>代理机构造成损失的，利益受损方将向</w:t>
            </w:r>
            <w:r>
              <w:rPr>
                <w:rFonts w:hint="eastAsia" w:hAnsi="宋体"/>
                <w:color w:val="auto"/>
                <w:kern w:val="0"/>
                <w:sz w:val="24"/>
                <w:highlight w:val="none"/>
                <w:lang w:eastAsia="zh-CN"/>
              </w:rPr>
              <w:t>供应商</w:t>
            </w:r>
            <w:r>
              <w:rPr>
                <w:rFonts w:hint="eastAsia" w:hAnsi="宋体"/>
                <w:color w:val="auto"/>
                <w:kern w:val="0"/>
                <w:sz w:val="24"/>
                <w:highlight w:val="none"/>
              </w:rPr>
              <w:t>主张赔偿责任，</w:t>
            </w:r>
            <w:r>
              <w:rPr>
                <w:rFonts w:hint="eastAsia" w:hAnsi="宋体"/>
                <w:color w:val="auto"/>
                <w:kern w:val="0"/>
                <w:sz w:val="24"/>
                <w:highlight w:val="none"/>
                <w:lang w:eastAsia="zh-CN"/>
              </w:rPr>
              <w:t>供应商</w:t>
            </w:r>
            <w:r>
              <w:rPr>
                <w:rFonts w:hint="eastAsia" w:hAnsi="宋体"/>
                <w:color w:val="auto"/>
                <w:kern w:val="0"/>
                <w:sz w:val="24"/>
                <w:highlight w:val="none"/>
              </w:rPr>
              <w:t xml:space="preserve">的失信行为将被纳入诚信记录。 </w:t>
            </w:r>
          </w:p>
          <w:p>
            <w:pPr>
              <w:spacing w:line="360" w:lineRule="auto"/>
              <w:rPr>
                <w:rFonts w:hAnsi="宋体"/>
                <w:color w:val="auto"/>
                <w:kern w:val="0"/>
                <w:sz w:val="24"/>
                <w:highlight w:val="none"/>
              </w:rPr>
            </w:pPr>
            <w:r>
              <w:rPr>
                <w:rFonts w:hint="eastAsia" w:hAnsi="宋体"/>
                <w:color w:val="auto"/>
                <w:kern w:val="0"/>
                <w:sz w:val="24"/>
                <w:highlight w:val="none"/>
              </w:rPr>
              <w:t xml:space="preserve">（1）无正当理由放弃中标资格的； </w:t>
            </w:r>
          </w:p>
          <w:p>
            <w:pPr>
              <w:spacing w:line="360" w:lineRule="auto"/>
              <w:rPr>
                <w:rFonts w:hAnsi="宋体"/>
                <w:color w:val="auto"/>
                <w:kern w:val="0"/>
                <w:sz w:val="24"/>
                <w:highlight w:val="none"/>
              </w:rPr>
            </w:pPr>
            <w:r>
              <w:rPr>
                <w:rFonts w:hint="eastAsia" w:hAnsi="宋体"/>
                <w:color w:val="auto"/>
                <w:kern w:val="0"/>
                <w:sz w:val="24"/>
                <w:highlight w:val="none"/>
              </w:rPr>
              <w:t>（2）中标后无正当理由拒不与</w:t>
            </w:r>
            <w:r>
              <w:rPr>
                <w:rFonts w:hint="eastAsia" w:hAnsi="宋体"/>
                <w:color w:val="auto"/>
                <w:kern w:val="0"/>
                <w:sz w:val="24"/>
                <w:highlight w:val="none"/>
                <w:lang w:eastAsia="zh-CN"/>
              </w:rPr>
              <w:t>采购人</w:t>
            </w:r>
            <w:r>
              <w:rPr>
                <w:rFonts w:hint="eastAsia" w:hAnsi="宋体"/>
                <w:color w:val="auto"/>
                <w:kern w:val="0"/>
                <w:sz w:val="24"/>
                <w:highlight w:val="none"/>
              </w:rPr>
              <w:t xml:space="preserve">签订政府采购合同的； </w:t>
            </w:r>
          </w:p>
          <w:p>
            <w:pPr>
              <w:spacing w:line="360" w:lineRule="auto"/>
              <w:rPr>
                <w:rFonts w:hAnsi="宋体"/>
                <w:color w:val="auto"/>
                <w:kern w:val="0"/>
                <w:sz w:val="24"/>
                <w:highlight w:val="none"/>
              </w:rPr>
            </w:pPr>
            <w:r>
              <w:rPr>
                <w:rFonts w:hint="eastAsia" w:hAnsi="宋体"/>
                <w:color w:val="auto"/>
                <w:kern w:val="0"/>
                <w:sz w:val="24"/>
                <w:highlight w:val="none"/>
              </w:rPr>
              <w:t xml:space="preserve">（3）擅自变更、中止或者终止政府采购合同； </w:t>
            </w:r>
          </w:p>
          <w:p>
            <w:pPr>
              <w:spacing w:line="360" w:lineRule="auto"/>
              <w:rPr>
                <w:rFonts w:hAnsi="宋体"/>
                <w:color w:val="auto"/>
                <w:kern w:val="0"/>
                <w:sz w:val="24"/>
                <w:highlight w:val="none"/>
              </w:rPr>
            </w:pPr>
            <w:r>
              <w:rPr>
                <w:rFonts w:hint="eastAsia" w:hAnsi="宋体"/>
                <w:color w:val="auto"/>
                <w:kern w:val="0"/>
                <w:sz w:val="24"/>
                <w:highlight w:val="none"/>
              </w:rPr>
              <w:t xml:space="preserve">（4）未按照磋商文件要求按时缴纳费用的； </w:t>
            </w:r>
          </w:p>
          <w:p>
            <w:pPr>
              <w:spacing w:line="360" w:lineRule="auto"/>
              <w:rPr>
                <w:rFonts w:hAnsi="宋体"/>
                <w:color w:val="auto"/>
                <w:sz w:val="24"/>
                <w:szCs w:val="24"/>
                <w:highlight w:val="none"/>
              </w:rPr>
            </w:pPr>
            <w:r>
              <w:rPr>
                <w:rFonts w:hint="eastAsia" w:hAnsi="宋体"/>
                <w:color w:val="auto"/>
                <w:kern w:val="0"/>
                <w:sz w:val="24"/>
                <w:highlight w:val="none"/>
              </w:rPr>
              <w:t>（5）其他在政府采购活动中违反政府采购相关规定的。</w:t>
            </w:r>
          </w:p>
        </w:tc>
      </w:tr>
      <w:tr>
        <w:tblPrEx>
          <w:tblCellMar>
            <w:top w:w="0" w:type="dxa"/>
            <w:left w:w="108" w:type="dxa"/>
            <w:bottom w:w="0" w:type="dxa"/>
            <w:right w:w="108" w:type="dxa"/>
          </w:tblCellMar>
        </w:tblPrEx>
        <w:trPr>
          <w:trHeight w:val="753"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供应商提出问题的截止时间</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4"/>
                <w:szCs w:val="24"/>
                <w:highlight w:val="none"/>
              </w:rPr>
            </w:pPr>
            <w:r>
              <w:rPr>
                <w:rFonts w:hint="eastAsia" w:hAnsi="宋体"/>
                <w:color w:val="auto"/>
                <w:sz w:val="24"/>
                <w:szCs w:val="24"/>
                <w:highlight w:val="none"/>
              </w:rPr>
              <w:t xml:space="preserve">在递交响应文件截止时间5日前。 </w:t>
            </w:r>
          </w:p>
        </w:tc>
      </w:tr>
      <w:tr>
        <w:tblPrEx>
          <w:tblCellMar>
            <w:top w:w="0" w:type="dxa"/>
            <w:left w:w="108" w:type="dxa"/>
            <w:bottom w:w="0" w:type="dxa"/>
            <w:right w:w="108" w:type="dxa"/>
          </w:tblCellMar>
        </w:tblPrEx>
        <w:trPr>
          <w:trHeight w:val="732"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响应文件</w:t>
            </w:r>
          </w:p>
          <w:p>
            <w:pPr>
              <w:jc w:val="center"/>
              <w:rPr>
                <w:rFonts w:hAnsi="宋体"/>
                <w:color w:val="auto"/>
                <w:sz w:val="24"/>
                <w:szCs w:val="24"/>
                <w:highlight w:val="none"/>
              </w:rPr>
            </w:pPr>
            <w:r>
              <w:rPr>
                <w:rFonts w:hint="eastAsia" w:hAnsi="宋体"/>
                <w:color w:val="auto"/>
                <w:sz w:val="24"/>
                <w:szCs w:val="24"/>
                <w:highlight w:val="none"/>
              </w:rPr>
              <w:t>份数</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hAnsi="宋体"/>
                <w:color w:val="auto"/>
                <w:sz w:val="24"/>
                <w:szCs w:val="24"/>
                <w:highlight w:val="none"/>
              </w:rPr>
            </w:pPr>
            <w:r>
              <w:rPr>
                <w:rFonts w:hint="eastAsia" w:hAnsi="宋体"/>
                <w:color w:val="auto"/>
                <w:sz w:val="24"/>
                <w:szCs w:val="24"/>
                <w:highlight w:val="none"/>
              </w:rPr>
              <w:t>1、电子</w:t>
            </w:r>
            <w:r>
              <w:rPr>
                <w:rFonts w:hint="eastAsia" w:hAnsi="宋体"/>
                <w:color w:val="auto"/>
                <w:sz w:val="24"/>
                <w:szCs w:val="24"/>
                <w:highlight w:val="none"/>
                <w:lang w:eastAsia="zh-CN"/>
              </w:rPr>
              <w:t>响应文件</w:t>
            </w:r>
            <w:r>
              <w:rPr>
                <w:rFonts w:hint="eastAsia" w:hAnsi="宋体"/>
                <w:color w:val="auto"/>
                <w:sz w:val="24"/>
                <w:szCs w:val="24"/>
                <w:highlight w:val="none"/>
              </w:rPr>
              <w:t>：共计2份，其中加密文件 1 份，在赢标电子招标采购交易平台(菏泽专区)上传；另提交电子版</w:t>
            </w:r>
            <w:r>
              <w:rPr>
                <w:rFonts w:hint="eastAsia" w:hAnsi="宋体"/>
                <w:color w:val="auto"/>
                <w:sz w:val="24"/>
                <w:szCs w:val="24"/>
                <w:highlight w:val="none"/>
                <w:lang w:eastAsia="zh-CN"/>
              </w:rPr>
              <w:t>响应文件</w:t>
            </w:r>
            <w:r>
              <w:rPr>
                <w:rFonts w:hint="eastAsia" w:hAnsi="宋体"/>
                <w:color w:val="auto"/>
                <w:sz w:val="24"/>
                <w:szCs w:val="24"/>
                <w:highlight w:val="none"/>
              </w:rPr>
              <w:t>一份（U 盘），内容为电子签章后的 PDF 格式</w:t>
            </w:r>
            <w:r>
              <w:rPr>
                <w:rFonts w:hint="eastAsia" w:hAnsi="宋体"/>
                <w:color w:val="auto"/>
                <w:sz w:val="24"/>
                <w:szCs w:val="24"/>
                <w:highlight w:val="none"/>
                <w:lang w:eastAsia="zh-CN"/>
              </w:rPr>
              <w:t>响应文件</w:t>
            </w:r>
            <w:r>
              <w:rPr>
                <w:rFonts w:hint="eastAsia" w:hAnsi="宋体"/>
                <w:color w:val="auto"/>
                <w:sz w:val="24"/>
                <w:szCs w:val="24"/>
                <w:highlight w:val="none"/>
              </w:rPr>
              <w:t>。</w:t>
            </w:r>
          </w:p>
          <w:p>
            <w:pPr>
              <w:spacing w:line="360" w:lineRule="auto"/>
              <w:rPr>
                <w:rFonts w:hAnsi="宋体"/>
                <w:color w:val="auto"/>
                <w:sz w:val="24"/>
                <w:szCs w:val="24"/>
                <w:highlight w:val="none"/>
              </w:rPr>
            </w:pPr>
            <w:r>
              <w:rPr>
                <w:rFonts w:hint="eastAsia" w:hAnsi="宋体"/>
                <w:color w:val="auto"/>
                <w:sz w:val="24"/>
                <w:szCs w:val="24"/>
                <w:highlight w:val="none"/>
              </w:rPr>
              <w:t>2、若投标企业中标，中标后该企业还需提交三份胶装的系统内生成的 PDF 格式纸质版</w:t>
            </w:r>
            <w:r>
              <w:rPr>
                <w:rFonts w:hint="eastAsia" w:hAnsi="宋体"/>
                <w:color w:val="auto"/>
                <w:sz w:val="24"/>
                <w:szCs w:val="24"/>
                <w:highlight w:val="none"/>
                <w:lang w:eastAsia="zh-CN"/>
              </w:rPr>
              <w:t>响应文件</w:t>
            </w:r>
            <w:r>
              <w:rPr>
                <w:rFonts w:hint="eastAsia" w:hAnsi="宋体"/>
                <w:color w:val="auto"/>
                <w:sz w:val="24"/>
                <w:szCs w:val="24"/>
                <w:highlight w:val="none"/>
              </w:rPr>
              <w:t>，双面打印，并加盖单位公章。</w:t>
            </w:r>
          </w:p>
        </w:tc>
      </w:tr>
      <w:tr>
        <w:tblPrEx>
          <w:tblCellMar>
            <w:top w:w="0" w:type="dxa"/>
            <w:left w:w="108" w:type="dxa"/>
            <w:bottom w:w="0" w:type="dxa"/>
            <w:right w:w="108" w:type="dxa"/>
          </w:tblCellMar>
        </w:tblPrEx>
        <w:trPr>
          <w:trHeight w:val="1158" w:hRule="atLeast"/>
          <w:jc w:val="center"/>
        </w:trPr>
        <w:tc>
          <w:tcPr>
            <w:tcW w:w="503" w:type="dxa"/>
            <w:tcBorders>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left w:val="single" w:color="auto" w:sz="4" w:space="0"/>
              <w:bottom w:val="single" w:color="auto" w:sz="4" w:space="0"/>
              <w:right w:val="single" w:color="auto" w:sz="4" w:space="0"/>
            </w:tcBorders>
            <w:vAlign w:val="center"/>
          </w:tcPr>
          <w:p>
            <w:pPr>
              <w:jc w:val="left"/>
              <w:rPr>
                <w:rFonts w:hAnsi="宋体"/>
                <w:bCs/>
                <w:color w:val="auto"/>
                <w:sz w:val="24"/>
                <w:szCs w:val="24"/>
                <w:highlight w:val="none"/>
              </w:rPr>
            </w:pPr>
            <w:r>
              <w:rPr>
                <w:rFonts w:hint="eastAsia" w:hAnsi="宋体"/>
                <w:bCs/>
                <w:color w:val="auto"/>
                <w:sz w:val="24"/>
                <w:szCs w:val="24"/>
                <w:highlight w:val="none"/>
              </w:rPr>
              <w:t>响应文件递交截止时间及地点</w:t>
            </w:r>
          </w:p>
        </w:tc>
        <w:tc>
          <w:tcPr>
            <w:tcW w:w="707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hint="eastAsia" w:hAnsi="宋体" w:eastAsia="宋体"/>
                <w:bCs/>
                <w:color w:val="auto"/>
                <w:sz w:val="24"/>
                <w:szCs w:val="24"/>
                <w:highlight w:val="none"/>
                <w:lang w:eastAsia="zh-CN"/>
              </w:rPr>
            </w:pPr>
            <w:r>
              <w:rPr>
                <w:rFonts w:hint="eastAsia" w:hAnsi="宋体"/>
                <w:bCs/>
                <w:color w:val="auto"/>
                <w:sz w:val="24"/>
                <w:szCs w:val="24"/>
                <w:highlight w:val="none"/>
                <w:lang w:eastAsia="zh-CN"/>
              </w:rPr>
              <w:t>同开标时间及地点。</w:t>
            </w:r>
          </w:p>
        </w:tc>
      </w:tr>
      <w:tr>
        <w:tblPrEx>
          <w:tblCellMar>
            <w:top w:w="0" w:type="dxa"/>
            <w:left w:w="108" w:type="dxa"/>
            <w:bottom w:w="0" w:type="dxa"/>
            <w:right w:w="108" w:type="dxa"/>
          </w:tblCellMar>
        </w:tblPrEx>
        <w:trPr>
          <w:trHeight w:val="90" w:hRule="atLeast"/>
          <w:jc w:val="center"/>
        </w:trPr>
        <w:tc>
          <w:tcPr>
            <w:tcW w:w="503" w:type="dxa"/>
            <w:tcBorders>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bCs/>
                <w:color w:val="auto"/>
                <w:sz w:val="24"/>
                <w:szCs w:val="24"/>
                <w:highlight w:val="none"/>
              </w:rPr>
              <w:t>开标时间及地点</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4"/>
                <w:szCs w:val="24"/>
                <w:highlight w:val="none"/>
              </w:rPr>
            </w:pPr>
            <w:r>
              <w:rPr>
                <w:rFonts w:hint="eastAsia" w:hAnsi="宋体"/>
                <w:color w:val="auto"/>
                <w:sz w:val="24"/>
                <w:szCs w:val="24"/>
                <w:highlight w:val="none"/>
              </w:rPr>
              <w:t>开标</w:t>
            </w:r>
            <w:r>
              <w:rPr>
                <w:rFonts w:hint="eastAsia" w:hAnsi="宋体"/>
                <w:bCs/>
                <w:color w:val="auto"/>
                <w:sz w:val="24"/>
                <w:szCs w:val="24"/>
                <w:highlight w:val="none"/>
              </w:rPr>
              <w:t>时间：</w:t>
            </w:r>
            <w:r>
              <w:rPr>
                <w:rFonts w:hint="eastAsia" w:ascii="宋体" w:hAnsi="宋体" w:cs="宋体"/>
                <w:sz w:val="24"/>
                <w:szCs w:val="24"/>
                <w:lang w:eastAsia="zh-CN"/>
              </w:rPr>
              <w:t>2023</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18</w:t>
            </w:r>
            <w:r>
              <w:rPr>
                <w:rFonts w:hint="eastAsia" w:ascii="宋体" w:hAnsi="宋体" w:cs="宋体"/>
                <w:sz w:val="24"/>
                <w:szCs w:val="24"/>
              </w:rPr>
              <w:t>日</w:t>
            </w:r>
            <w:r>
              <w:rPr>
                <w:rFonts w:hint="eastAsia" w:ascii="宋体" w:hAnsi="宋体" w:cs="宋体"/>
                <w:sz w:val="24"/>
                <w:szCs w:val="24"/>
                <w:lang w:val="en-US" w:eastAsia="zh-CN"/>
              </w:rPr>
              <w:t>14</w:t>
            </w:r>
            <w:r>
              <w:rPr>
                <w:rFonts w:hint="eastAsia" w:ascii="宋体" w:hAnsi="宋体" w:cs="宋体"/>
                <w:sz w:val="24"/>
                <w:szCs w:val="24"/>
              </w:rPr>
              <w:t>时</w:t>
            </w:r>
            <w:r>
              <w:rPr>
                <w:rFonts w:hint="eastAsia" w:ascii="宋体" w:hAnsi="宋体" w:cs="宋体"/>
                <w:sz w:val="24"/>
                <w:szCs w:val="24"/>
                <w:lang w:val="en-US" w:eastAsia="zh-CN"/>
              </w:rPr>
              <w:t>00</w:t>
            </w:r>
            <w:r>
              <w:rPr>
                <w:rFonts w:hint="eastAsia" w:ascii="宋体" w:hAnsi="宋体" w:cs="宋体"/>
                <w:sz w:val="24"/>
                <w:szCs w:val="24"/>
              </w:rPr>
              <w:t>分</w:t>
            </w:r>
            <w:r>
              <w:rPr>
                <w:rFonts w:hint="eastAsia" w:hAnsi="宋体"/>
                <w:bCs/>
                <w:color w:val="auto"/>
                <w:sz w:val="24"/>
                <w:szCs w:val="24"/>
                <w:highlight w:val="none"/>
              </w:rPr>
              <w:t>（北京时间）；</w:t>
            </w:r>
          </w:p>
          <w:p>
            <w:pPr>
              <w:autoSpaceDE w:val="0"/>
              <w:autoSpaceDN w:val="0"/>
              <w:spacing w:line="360" w:lineRule="auto"/>
              <w:rPr>
                <w:rFonts w:hint="eastAsia" w:ascii="宋体" w:hAnsi="宋体" w:cs="宋体"/>
                <w:color w:val="auto"/>
                <w:sz w:val="24"/>
                <w:lang w:val="zh-CN"/>
              </w:rPr>
            </w:pPr>
            <w:r>
              <w:rPr>
                <w:rFonts w:hint="eastAsia" w:ascii="宋体" w:hAnsi="宋体" w:cs="宋体"/>
                <w:color w:val="auto"/>
                <w:sz w:val="24"/>
              </w:rPr>
              <w:t>①赢标·电子招标采购交易平台（菏泽专区）http://hz.fzbidding.com上传递交加密版电子</w:t>
            </w:r>
            <w:r>
              <w:rPr>
                <w:rFonts w:hint="eastAsia" w:hAnsi="宋体" w:cs="宋体"/>
                <w:color w:val="auto"/>
                <w:sz w:val="24"/>
                <w:lang w:eastAsia="zh-CN"/>
              </w:rPr>
              <w:t>响应文件</w:t>
            </w:r>
            <w:r>
              <w:rPr>
                <w:rFonts w:hint="eastAsia" w:ascii="宋体" w:hAnsi="宋体" w:cs="宋体"/>
                <w:color w:val="auto"/>
                <w:sz w:val="24"/>
              </w:rPr>
              <w:t>。逾期未完成上传的</w:t>
            </w:r>
            <w:r>
              <w:rPr>
                <w:rFonts w:hint="eastAsia" w:hAnsi="宋体" w:cs="宋体"/>
                <w:color w:val="auto"/>
                <w:sz w:val="24"/>
                <w:lang w:eastAsia="zh-CN"/>
              </w:rPr>
              <w:t>响应文件</w:t>
            </w:r>
            <w:r>
              <w:rPr>
                <w:rFonts w:hint="eastAsia" w:ascii="宋体" w:hAnsi="宋体" w:cs="宋体"/>
                <w:color w:val="auto"/>
                <w:sz w:val="24"/>
              </w:rPr>
              <w:t>，</w:t>
            </w:r>
            <w:r>
              <w:rPr>
                <w:rFonts w:hint="eastAsia" w:hAnsi="宋体" w:cs="宋体"/>
                <w:color w:val="auto"/>
                <w:sz w:val="24"/>
                <w:lang w:eastAsia="zh-CN"/>
              </w:rPr>
              <w:t>采购人</w:t>
            </w:r>
            <w:r>
              <w:rPr>
                <w:rFonts w:hint="eastAsia" w:ascii="宋体" w:hAnsi="宋体" w:cs="宋体"/>
                <w:color w:val="auto"/>
                <w:sz w:val="24"/>
              </w:rPr>
              <w:t>、招标代理单位不予受理。</w:t>
            </w:r>
          </w:p>
          <w:p>
            <w:pPr>
              <w:autoSpaceDE w:val="0"/>
              <w:autoSpaceDN w:val="0"/>
              <w:spacing w:line="360" w:lineRule="auto"/>
              <w:rPr>
                <w:rFonts w:hAnsi="宋体"/>
                <w:color w:val="auto"/>
                <w:sz w:val="24"/>
                <w:szCs w:val="24"/>
                <w:highlight w:val="none"/>
              </w:rPr>
            </w:pPr>
            <w:r>
              <w:rPr>
                <w:rFonts w:hint="eastAsia" w:ascii="宋体" w:hAnsi="宋体" w:cs="宋体"/>
                <w:color w:val="auto"/>
                <w:sz w:val="24"/>
              </w:rPr>
              <w:t>②菏泽市公共资源(国有产权)交易中心第</w:t>
            </w:r>
            <w:r>
              <w:rPr>
                <w:rFonts w:hint="eastAsia" w:hAnsi="宋体" w:cs="宋体"/>
                <w:color w:val="auto"/>
                <w:sz w:val="24"/>
                <w:lang w:eastAsia="zh-CN"/>
              </w:rPr>
              <w:t>三</w:t>
            </w:r>
            <w:r>
              <w:rPr>
                <w:rFonts w:hint="eastAsia" w:ascii="宋体" w:hAnsi="宋体" w:cs="宋体"/>
                <w:color w:val="auto"/>
                <w:sz w:val="24"/>
              </w:rPr>
              <w:t>开标室(菏泽市济南路666号)。</w:t>
            </w:r>
          </w:p>
        </w:tc>
      </w:tr>
      <w:tr>
        <w:tblPrEx>
          <w:tblCellMar>
            <w:top w:w="0" w:type="dxa"/>
            <w:left w:w="108" w:type="dxa"/>
            <w:bottom w:w="0" w:type="dxa"/>
            <w:right w:w="108" w:type="dxa"/>
          </w:tblCellMar>
        </w:tblPrEx>
        <w:trPr>
          <w:trHeight w:val="688"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检查响应文件的密封情况</w:t>
            </w:r>
          </w:p>
        </w:tc>
        <w:tc>
          <w:tcPr>
            <w:tcW w:w="70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Ansi="宋体"/>
                <w:color w:val="auto"/>
                <w:sz w:val="24"/>
                <w:szCs w:val="24"/>
                <w:highlight w:val="none"/>
              </w:rPr>
            </w:pPr>
            <w:r>
              <w:rPr>
                <w:rFonts w:hint="eastAsia" w:hAnsi="宋体"/>
                <w:color w:val="auto"/>
                <w:sz w:val="24"/>
                <w:szCs w:val="24"/>
                <w:highlight w:val="none"/>
              </w:rPr>
              <w:t>供应商授权代表检查响应文件密封情况。</w:t>
            </w:r>
          </w:p>
        </w:tc>
      </w:tr>
      <w:tr>
        <w:tblPrEx>
          <w:tblCellMar>
            <w:top w:w="0" w:type="dxa"/>
            <w:left w:w="108" w:type="dxa"/>
            <w:bottom w:w="0" w:type="dxa"/>
            <w:right w:w="108" w:type="dxa"/>
          </w:tblCellMar>
        </w:tblPrEx>
        <w:trPr>
          <w:trHeight w:val="818"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供货期</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highlight w:val="none"/>
              </w:rPr>
            </w:pPr>
            <w:r>
              <w:rPr>
                <w:rFonts w:hint="eastAsia"/>
                <w:color w:val="auto"/>
                <w:sz w:val="24"/>
                <w:szCs w:val="22"/>
                <w:highlight w:val="none"/>
              </w:rPr>
              <w:t>签订供货合同，接甲方供货通知，45日历天内供货、安装调试完毕</w:t>
            </w:r>
            <w:r>
              <w:rPr>
                <w:rFonts w:hint="eastAsia"/>
                <w:color w:val="auto"/>
                <w:sz w:val="24"/>
                <w:szCs w:val="22"/>
                <w:highlight w:val="none"/>
                <w:lang w:eastAsia="zh-CN"/>
              </w:rPr>
              <w:t>。</w:t>
            </w:r>
          </w:p>
        </w:tc>
      </w:tr>
      <w:tr>
        <w:tblPrEx>
          <w:tblCellMar>
            <w:top w:w="0" w:type="dxa"/>
            <w:left w:w="108" w:type="dxa"/>
            <w:bottom w:w="0" w:type="dxa"/>
            <w:right w:w="108" w:type="dxa"/>
          </w:tblCellMar>
        </w:tblPrEx>
        <w:trPr>
          <w:trHeight w:val="818"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供货地点</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4"/>
                <w:szCs w:val="22"/>
                <w:highlight w:val="none"/>
              </w:rPr>
            </w:pPr>
            <w:r>
              <w:rPr>
                <w:rFonts w:hint="eastAsia"/>
                <w:color w:val="auto"/>
                <w:sz w:val="24"/>
                <w:szCs w:val="22"/>
                <w:highlight w:val="none"/>
              </w:rPr>
              <w:t>采购人指定地点。</w:t>
            </w:r>
          </w:p>
        </w:tc>
      </w:tr>
      <w:tr>
        <w:tblPrEx>
          <w:tblCellMar>
            <w:top w:w="0" w:type="dxa"/>
            <w:left w:w="108" w:type="dxa"/>
            <w:bottom w:w="0" w:type="dxa"/>
            <w:right w:w="108" w:type="dxa"/>
          </w:tblCellMar>
        </w:tblPrEx>
        <w:trPr>
          <w:trHeight w:val="833" w:hRule="exac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bCs/>
                <w:color w:val="auto"/>
                <w:sz w:val="24"/>
                <w:szCs w:val="24"/>
                <w:highlight w:val="none"/>
              </w:rPr>
              <w:t>质保期</w:t>
            </w:r>
          </w:p>
        </w:tc>
        <w:tc>
          <w:tcPr>
            <w:tcW w:w="707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color w:val="auto"/>
                <w:highlight w:val="none"/>
              </w:rPr>
            </w:pPr>
            <w:r>
              <w:rPr>
                <w:rFonts w:hint="eastAsia" w:hAnsi="宋体"/>
                <w:bCs/>
                <w:color w:val="auto"/>
                <w:sz w:val="24"/>
                <w:szCs w:val="24"/>
                <w:highlight w:val="none"/>
                <w:lang w:val="en-US" w:eastAsia="zh-CN"/>
              </w:rPr>
              <w:t>三</w:t>
            </w:r>
            <w:r>
              <w:rPr>
                <w:rFonts w:hint="eastAsia" w:hAnsi="宋体"/>
                <w:bCs/>
                <w:color w:val="auto"/>
                <w:sz w:val="24"/>
                <w:szCs w:val="24"/>
                <w:highlight w:val="none"/>
              </w:rPr>
              <w:t>年。</w:t>
            </w:r>
            <w:r>
              <w:rPr>
                <w:rFonts w:hint="eastAsia" w:hAnsi="宋体"/>
                <w:b w:val="0"/>
                <w:bCs/>
                <w:color w:val="auto"/>
                <w:sz w:val="24"/>
                <w:szCs w:val="24"/>
                <w:highlight w:val="none"/>
              </w:rPr>
              <w:t>质保期在产品安装、调试并经双方验收合格后开始计算。</w:t>
            </w:r>
          </w:p>
        </w:tc>
      </w:tr>
      <w:tr>
        <w:tblPrEx>
          <w:tblCellMar>
            <w:top w:w="0" w:type="dxa"/>
            <w:left w:w="108" w:type="dxa"/>
            <w:bottom w:w="0" w:type="dxa"/>
            <w:right w:w="108" w:type="dxa"/>
          </w:tblCellMar>
        </w:tblPrEx>
        <w:trPr>
          <w:trHeight w:val="510"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szCs w:val="24"/>
                <w:highlight w:val="none"/>
              </w:rPr>
              <w:t>付款方式</w:t>
            </w:r>
          </w:p>
        </w:tc>
        <w:tc>
          <w:tcPr>
            <w:tcW w:w="707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hAnsi="宋体" w:eastAsia="宋体"/>
                <w:color w:val="auto"/>
                <w:sz w:val="24"/>
                <w:szCs w:val="24"/>
                <w:highlight w:val="none"/>
                <w:lang w:eastAsia="zh-CN"/>
              </w:rPr>
            </w:pPr>
            <w:r>
              <w:rPr>
                <w:rFonts w:hint="eastAsia" w:hAnsi="宋体"/>
                <w:b/>
                <w:color w:val="auto"/>
                <w:sz w:val="24"/>
                <w:szCs w:val="24"/>
                <w:highlight w:val="none"/>
              </w:rPr>
              <w:t>付款方式</w:t>
            </w:r>
            <w:r>
              <w:rPr>
                <w:rFonts w:hint="eastAsia" w:hAnsi="宋体"/>
                <w:color w:val="auto"/>
                <w:sz w:val="24"/>
                <w:szCs w:val="24"/>
                <w:highlight w:val="none"/>
              </w:rPr>
              <w:t>：安装调试完毕验收合格后付</w:t>
            </w:r>
            <w:r>
              <w:rPr>
                <w:rFonts w:hint="eastAsia" w:hAnsi="宋体"/>
                <w:color w:val="auto"/>
                <w:sz w:val="24"/>
                <w:szCs w:val="24"/>
                <w:highlight w:val="none"/>
                <w:lang w:val="en-US" w:eastAsia="zh-CN"/>
              </w:rPr>
              <w:t>至总货款</w:t>
            </w:r>
            <w:r>
              <w:rPr>
                <w:rFonts w:hint="eastAsia" w:hAnsi="宋体"/>
                <w:color w:val="auto"/>
                <w:sz w:val="24"/>
                <w:szCs w:val="24"/>
                <w:highlight w:val="none"/>
              </w:rPr>
              <w:t>的90%，一年后无质量问题付款至100%</w:t>
            </w:r>
            <w:r>
              <w:rPr>
                <w:rFonts w:hint="eastAsia" w:hAnsi="宋体"/>
                <w:color w:val="auto"/>
                <w:sz w:val="24"/>
                <w:szCs w:val="24"/>
                <w:highlight w:val="none"/>
                <w:lang w:eastAsia="zh-CN"/>
              </w:rPr>
              <w:t>。</w:t>
            </w:r>
          </w:p>
        </w:tc>
      </w:tr>
      <w:tr>
        <w:tblPrEx>
          <w:tblCellMar>
            <w:top w:w="0" w:type="dxa"/>
            <w:left w:w="108" w:type="dxa"/>
            <w:bottom w:w="0" w:type="dxa"/>
            <w:right w:w="108" w:type="dxa"/>
          </w:tblCellMar>
        </w:tblPrEx>
        <w:trPr>
          <w:trHeight w:val="1615"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color w:val="auto"/>
                <w:sz w:val="24"/>
                <w:highlight w:val="none"/>
              </w:rPr>
              <w:t>相同品牌</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00" w:lineRule="auto"/>
              <w:jc w:val="left"/>
              <w:rPr>
                <w:rFonts w:hAnsi="宋体"/>
                <w:color w:val="auto"/>
                <w:sz w:val="24"/>
                <w:highlight w:val="none"/>
              </w:rPr>
            </w:pPr>
            <w:r>
              <w:rPr>
                <w:rFonts w:hint="eastAsia" w:hAnsi="宋体"/>
                <w:color w:val="auto"/>
                <w:sz w:val="24"/>
                <w:highlight w:val="none"/>
              </w:rPr>
              <w:t>1、提供相同品牌产品且通过资格审查、符合性审查的不同供应商参加同一合同项下投标的，按一家供应商计算，评审后得分最高的同品牌供应商获得中标人推荐资格。评审得分相同的，按投标报价由低到高顺序排列，得分且投标报价相同的，按技术指标优劣顺序排列。</w:t>
            </w:r>
          </w:p>
          <w:p>
            <w:pPr>
              <w:spacing w:line="300" w:lineRule="auto"/>
              <w:jc w:val="left"/>
              <w:rPr>
                <w:rFonts w:hAnsi="宋体"/>
                <w:color w:val="auto"/>
                <w:sz w:val="24"/>
                <w:highlight w:val="none"/>
              </w:rPr>
            </w:pPr>
            <w:r>
              <w:rPr>
                <w:rFonts w:hint="eastAsia" w:hAnsi="宋体"/>
                <w:color w:val="auto"/>
                <w:sz w:val="24"/>
                <w:highlight w:val="none"/>
              </w:rPr>
              <w:t>2、非单一产品采购项目中核心产品的确定原则：</w:t>
            </w:r>
          </w:p>
          <w:p>
            <w:pPr>
              <w:spacing w:line="300" w:lineRule="auto"/>
              <w:jc w:val="left"/>
              <w:rPr>
                <w:rFonts w:hint="eastAsia" w:hAnsi="宋体" w:eastAsia="宋体"/>
                <w:color w:val="auto"/>
                <w:sz w:val="24"/>
                <w:highlight w:val="none"/>
                <w:lang w:eastAsia="zh-CN"/>
              </w:rPr>
            </w:pPr>
            <w:r>
              <w:rPr>
                <w:rFonts w:hint="eastAsia" w:hAnsi="宋体"/>
                <w:color w:val="auto"/>
                <w:sz w:val="24"/>
                <w:highlight w:val="none"/>
              </w:rPr>
              <w:t>1）技术要求及说明中规定核心产品的，以核心产品参照上述第 1 款的规定。</w:t>
            </w:r>
          </w:p>
          <w:p>
            <w:pPr>
              <w:snapToGrid w:val="0"/>
              <w:spacing w:line="360" w:lineRule="auto"/>
              <w:rPr>
                <w:rFonts w:hAnsi="宋体"/>
                <w:b/>
                <w:color w:val="auto"/>
                <w:sz w:val="24"/>
                <w:szCs w:val="24"/>
                <w:highlight w:val="none"/>
              </w:rPr>
            </w:pPr>
            <w:r>
              <w:rPr>
                <w:rFonts w:hint="eastAsia" w:hAnsi="宋体"/>
                <w:color w:val="auto"/>
                <w:sz w:val="24"/>
                <w:highlight w:val="none"/>
              </w:rPr>
              <w:t>2）技术要求及说明中未规定核心产品的，多家代理商所投同一品牌产品价格总和均超过该项目分包预算投标总价 50%的，适用于上述第 1 款的规定。</w:t>
            </w:r>
          </w:p>
        </w:tc>
      </w:tr>
      <w:tr>
        <w:tblPrEx>
          <w:tblCellMar>
            <w:top w:w="0" w:type="dxa"/>
            <w:left w:w="108" w:type="dxa"/>
            <w:bottom w:w="0" w:type="dxa"/>
            <w:right w:w="108" w:type="dxa"/>
          </w:tblCellMar>
        </w:tblPrEx>
        <w:trPr>
          <w:trHeight w:val="1043"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bCs/>
                <w:color w:val="auto"/>
                <w:sz w:val="24"/>
                <w:szCs w:val="24"/>
                <w:highlight w:val="none"/>
              </w:rPr>
            </w:pPr>
            <w:r>
              <w:rPr>
                <w:rFonts w:hint="eastAsia" w:hAnsi="宋体"/>
                <w:color w:val="auto"/>
                <w:sz w:val="24"/>
                <w:szCs w:val="24"/>
                <w:highlight w:val="none"/>
              </w:rPr>
              <w:t>关于递交原件的规定</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hAnsi="宋体"/>
                <w:bCs/>
                <w:color w:val="auto"/>
                <w:sz w:val="24"/>
                <w:szCs w:val="24"/>
                <w:highlight w:val="none"/>
              </w:rPr>
            </w:pPr>
            <w:r>
              <w:rPr>
                <w:rFonts w:hint="eastAsia" w:hAnsi="宋体"/>
                <w:color w:val="auto"/>
                <w:sz w:val="24"/>
                <w:szCs w:val="24"/>
                <w:highlight w:val="none"/>
              </w:rPr>
              <w:t>如磋商文件要求必须递交的用于资格后审的资格、资质原件或评分办法中要求提交的构成加分项的原件，须单独装袋，标明供应商名称，并与响应文件同时递交。递交响应文件截止时间后送达的原件，代理机构不予接受，由此产生的一切后果，由供应商承担。</w:t>
            </w:r>
          </w:p>
        </w:tc>
      </w:tr>
      <w:tr>
        <w:tblPrEx>
          <w:tblCellMar>
            <w:top w:w="0" w:type="dxa"/>
            <w:left w:w="108" w:type="dxa"/>
            <w:bottom w:w="0" w:type="dxa"/>
            <w:right w:w="108" w:type="dxa"/>
          </w:tblCellMar>
        </w:tblPrEx>
        <w:trPr>
          <w:trHeight w:val="539"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Ansi="宋体"/>
                <w:bCs/>
                <w:color w:val="auto"/>
                <w:sz w:val="24"/>
                <w:szCs w:val="24"/>
                <w:highlight w:val="none"/>
              </w:rPr>
            </w:pPr>
            <w:r>
              <w:rPr>
                <w:rFonts w:hint="eastAsia" w:hAnsi="宋体"/>
                <w:color w:val="auto"/>
                <w:sz w:val="24"/>
                <w:szCs w:val="24"/>
                <w:highlight w:val="none"/>
              </w:rPr>
              <w:t>开标时须递交的资格证明资料</w:t>
            </w:r>
          </w:p>
        </w:tc>
        <w:tc>
          <w:tcPr>
            <w:tcW w:w="70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41" w:firstLineChars="100"/>
              <w:textAlignment w:val="center"/>
              <w:rPr>
                <w:rFonts w:hAnsi="宋体"/>
                <w:color w:val="auto"/>
                <w:kern w:val="0"/>
                <w:sz w:val="24"/>
                <w:szCs w:val="24"/>
                <w:highlight w:val="none"/>
              </w:rPr>
            </w:pPr>
            <w:r>
              <w:rPr>
                <w:rFonts w:hint="eastAsia" w:hAnsi="宋体"/>
                <w:b/>
                <w:color w:val="auto"/>
                <w:sz w:val="24"/>
                <w:szCs w:val="24"/>
                <w:highlight w:val="none"/>
              </w:rPr>
              <w:t>供应商需单独提供以下证件供开标时核验，证件不全或检验不合格者，按无效投标处理，供应商应对其提供的证件和资料负责。</w:t>
            </w:r>
          </w:p>
          <w:p>
            <w:pPr>
              <w:spacing w:line="460" w:lineRule="exact"/>
              <w:rPr>
                <w:rFonts w:hAnsi="宋体"/>
                <w:color w:val="auto"/>
                <w:spacing w:val="-5"/>
                <w:sz w:val="24"/>
                <w:szCs w:val="24"/>
                <w:highlight w:val="none"/>
              </w:rPr>
            </w:pPr>
            <w:r>
              <w:rPr>
                <w:rFonts w:hint="eastAsia" w:hAnsi="宋体"/>
                <w:color w:val="auto"/>
                <w:spacing w:val="-5"/>
                <w:sz w:val="24"/>
                <w:szCs w:val="24"/>
                <w:highlight w:val="none"/>
              </w:rPr>
              <w:t>1）、营业执照副本原件；</w:t>
            </w:r>
          </w:p>
          <w:p>
            <w:pPr>
              <w:spacing w:line="460" w:lineRule="exact"/>
              <w:rPr>
                <w:rFonts w:hint="eastAsia" w:hAnsi="宋体" w:eastAsia="宋体"/>
                <w:color w:val="FF0000"/>
                <w:spacing w:val="-5"/>
                <w:sz w:val="24"/>
                <w:szCs w:val="24"/>
                <w:highlight w:val="none"/>
                <w:lang w:eastAsia="zh-CN"/>
              </w:rPr>
            </w:pPr>
            <w:r>
              <w:rPr>
                <w:rFonts w:hint="eastAsia" w:hAnsi="宋体"/>
                <w:color w:val="auto"/>
                <w:spacing w:val="-5"/>
                <w:sz w:val="24"/>
                <w:szCs w:val="24"/>
                <w:highlight w:val="none"/>
              </w:rPr>
              <w:t>2）、法定代表人身份证原件（法定代表人到场的）或法定代表人授权委托书原件、委托代理人身份证原件及法定代表人身份证复印件（委托代理人到场的）</w:t>
            </w:r>
            <w:r>
              <w:rPr>
                <w:rFonts w:hint="eastAsia" w:hAnsi="宋体"/>
                <w:color w:val="auto"/>
                <w:spacing w:val="-5"/>
                <w:sz w:val="24"/>
                <w:szCs w:val="24"/>
                <w:highlight w:val="none"/>
                <w:lang w:eastAsia="zh-CN"/>
              </w:rPr>
              <w:t>。</w:t>
            </w:r>
          </w:p>
          <w:p>
            <w:pPr>
              <w:spacing w:line="360" w:lineRule="auto"/>
              <w:ind w:firstLine="472" w:firstLineChars="196"/>
              <w:rPr>
                <w:rFonts w:hAnsi="宋体"/>
                <w:b/>
                <w:color w:val="auto"/>
                <w:sz w:val="24"/>
                <w:szCs w:val="24"/>
                <w:highlight w:val="none"/>
              </w:rPr>
            </w:pPr>
            <w:r>
              <w:rPr>
                <w:rFonts w:hint="eastAsia" w:hAnsi="宋体"/>
                <w:b/>
                <w:color w:val="auto"/>
                <w:sz w:val="24"/>
                <w:szCs w:val="24"/>
                <w:highlight w:val="none"/>
              </w:rPr>
              <w:t>注：1、以上除要求提供复印件的以外必须提供原件，不能提供有效原件的，应提供由发证机关或企业所在相应行政主管部门出具的证明，证明中应说明不能提供证件的原因。</w:t>
            </w:r>
          </w:p>
          <w:p>
            <w:pPr>
              <w:spacing w:line="360" w:lineRule="auto"/>
              <w:rPr>
                <w:rFonts w:hAnsi="宋体"/>
                <w:b/>
                <w:color w:val="auto"/>
                <w:sz w:val="24"/>
                <w:szCs w:val="24"/>
                <w:highlight w:val="none"/>
              </w:rPr>
            </w:pPr>
            <w:r>
              <w:rPr>
                <w:rFonts w:hint="eastAsia" w:hAnsi="宋体"/>
                <w:b/>
                <w:color w:val="auto"/>
                <w:sz w:val="24"/>
                <w:szCs w:val="24"/>
                <w:highlight w:val="none"/>
              </w:rPr>
              <w:t>在资格审查过程中，供应商名称发生变更的，必须提供企业所在地工商行政管理部门出具的相关证明，否则其投标申请将被拒绝；更换供应商的，其投标将被拒绝。</w:t>
            </w:r>
          </w:p>
          <w:p>
            <w:pPr>
              <w:spacing w:line="360" w:lineRule="auto"/>
              <w:rPr>
                <w:rFonts w:hAnsi="宋体"/>
                <w:bCs/>
                <w:color w:val="auto"/>
                <w:sz w:val="24"/>
                <w:szCs w:val="24"/>
                <w:highlight w:val="none"/>
              </w:rPr>
            </w:pPr>
            <w:r>
              <w:rPr>
                <w:rFonts w:hint="eastAsia" w:hAnsi="宋体"/>
                <w:b/>
                <w:color w:val="auto"/>
                <w:sz w:val="24"/>
                <w:szCs w:val="24"/>
                <w:highlight w:val="none"/>
              </w:rPr>
              <w:t>2、开标时，供应商必须按要求提供以上1）-</w:t>
            </w:r>
            <w:r>
              <w:rPr>
                <w:rFonts w:hint="eastAsia" w:hAnsi="宋体"/>
                <w:b/>
                <w:color w:val="auto"/>
                <w:sz w:val="24"/>
                <w:szCs w:val="24"/>
                <w:highlight w:val="none"/>
                <w:lang w:val="en-US" w:eastAsia="zh-CN"/>
              </w:rPr>
              <w:t>2</w:t>
            </w:r>
            <w:r>
              <w:rPr>
                <w:rFonts w:hint="eastAsia" w:hAnsi="宋体"/>
                <w:b/>
                <w:color w:val="auto"/>
                <w:sz w:val="24"/>
                <w:szCs w:val="24"/>
                <w:highlight w:val="none"/>
              </w:rPr>
              <w:t>）项资格证明文件原件（单独装袋，与响应文件一并提交）如缺少</w:t>
            </w:r>
            <w:r>
              <w:rPr>
                <w:rFonts w:hint="eastAsia" w:hAnsi="宋体"/>
                <w:b/>
                <w:color w:val="auto"/>
                <w:sz w:val="24"/>
                <w:szCs w:val="24"/>
                <w:highlight w:val="none"/>
                <w:lang w:val="en-US" w:eastAsia="zh-CN"/>
              </w:rPr>
              <w:t>任意一项或任意一项审核不合格的</w:t>
            </w:r>
            <w:r>
              <w:rPr>
                <w:rFonts w:hint="eastAsia" w:hAnsi="宋体"/>
                <w:b/>
                <w:color w:val="auto"/>
                <w:sz w:val="24"/>
                <w:szCs w:val="24"/>
                <w:highlight w:val="none"/>
              </w:rPr>
              <w:t>将被视为资格审查不合格，不再进入下一步评审。投标时间截止以后不再接受任何补充或遗漏的资质证明资料。</w:t>
            </w:r>
          </w:p>
        </w:tc>
      </w:tr>
      <w:tr>
        <w:tblPrEx>
          <w:tblCellMar>
            <w:top w:w="0" w:type="dxa"/>
            <w:left w:w="108" w:type="dxa"/>
            <w:bottom w:w="0" w:type="dxa"/>
            <w:right w:w="108" w:type="dxa"/>
          </w:tblCellMar>
        </w:tblPrEx>
        <w:trPr>
          <w:trHeight w:val="539"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color w:val="auto"/>
                <w:sz w:val="24"/>
                <w:szCs w:val="24"/>
                <w:highlight w:val="none"/>
              </w:rPr>
            </w:pPr>
            <w:r>
              <w:rPr>
                <w:rFonts w:hint="eastAsia" w:hAnsi="宋体"/>
                <w:color w:val="auto"/>
                <w:sz w:val="24"/>
                <w:szCs w:val="24"/>
                <w:highlight w:val="none"/>
                <w:lang w:eastAsia="zh-CN"/>
              </w:rPr>
              <w:t>响应文件</w:t>
            </w:r>
            <w:r>
              <w:rPr>
                <w:rFonts w:hint="eastAsia" w:hAnsi="宋体"/>
                <w:color w:val="auto"/>
                <w:sz w:val="24"/>
                <w:szCs w:val="24"/>
                <w:highlight w:val="none"/>
              </w:rPr>
              <w:t>电子版</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hAnsi="宋体"/>
                <w:b w:val="0"/>
                <w:bCs/>
                <w:color w:val="auto"/>
                <w:sz w:val="24"/>
                <w:szCs w:val="24"/>
                <w:highlight w:val="none"/>
              </w:rPr>
            </w:pPr>
            <w:r>
              <w:rPr>
                <w:rFonts w:hint="eastAsia" w:hAnsi="宋体"/>
                <w:b w:val="0"/>
                <w:bCs/>
                <w:color w:val="auto"/>
                <w:sz w:val="24"/>
                <w:szCs w:val="24"/>
                <w:highlight w:val="none"/>
              </w:rPr>
              <w:t>要求，</w:t>
            </w:r>
            <w:r>
              <w:rPr>
                <w:rFonts w:hint="eastAsia" w:hAnsi="宋体"/>
                <w:b w:val="0"/>
                <w:bCs/>
                <w:color w:val="auto"/>
                <w:sz w:val="24"/>
                <w:szCs w:val="24"/>
                <w:highlight w:val="none"/>
                <w:lang w:eastAsia="zh-CN"/>
              </w:rPr>
              <w:t>响应文件</w:t>
            </w:r>
            <w:r>
              <w:rPr>
                <w:rFonts w:hint="eastAsia" w:hAnsi="宋体"/>
                <w:b w:val="0"/>
                <w:bCs/>
                <w:color w:val="auto"/>
                <w:sz w:val="24"/>
                <w:szCs w:val="24"/>
                <w:highlight w:val="none"/>
              </w:rPr>
              <w:t xml:space="preserve">电子版份数：       1份        </w:t>
            </w:r>
          </w:p>
          <w:p>
            <w:pPr>
              <w:spacing w:line="360" w:lineRule="auto"/>
              <w:rPr>
                <w:rFonts w:hint="eastAsia" w:hAnsi="宋体"/>
                <w:b w:val="0"/>
                <w:bCs/>
                <w:color w:val="auto"/>
                <w:sz w:val="24"/>
                <w:szCs w:val="24"/>
                <w:highlight w:val="none"/>
              </w:rPr>
            </w:pPr>
            <w:r>
              <w:rPr>
                <w:rFonts w:hint="eastAsia" w:hAnsi="宋体"/>
                <w:b w:val="0"/>
                <w:bCs/>
                <w:color w:val="auto"/>
                <w:sz w:val="24"/>
                <w:szCs w:val="24"/>
                <w:highlight w:val="none"/>
              </w:rPr>
              <w:t xml:space="preserve">      </w:t>
            </w:r>
            <w:r>
              <w:rPr>
                <w:rFonts w:hint="eastAsia" w:hAnsi="宋体"/>
                <w:b w:val="0"/>
                <w:bCs/>
                <w:color w:val="auto"/>
                <w:sz w:val="24"/>
                <w:szCs w:val="24"/>
                <w:highlight w:val="none"/>
                <w:lang w:eastAsia="zh-CN"/>
              </w:rPr>
              <w:t>响应文件</w:t>
            </w:r>
            <w:r>
              <w:rPr>
                <w:rFonts w:hint="eastAsia" w:hAnsi="宋体"/>
                <w:b w:val="0"/>
                <w:bCs/>
                <w:color w:val="auto"/>
                <w:sz w:val="24"/>
                <w:szCs w:val="24"/>
                <w:highlight w:val="none"/>
              </w:rPr>
              <w:t xml:space="preserve">电子版形式：       U盘        </w:t>
            </w:r>
          </w:p>
          <w:p>
            <w:pPr>
              <w:spacing w:line="360" w:lineRule="auto"/>
              <w:rPr>
                <w:rFonts w:hint="eastAsia" w:hAnsi="宋体"/>
                <w:b w:val="0"/>
                <w:bCs/>
                <w:color w:val="auto"/>
                <w:sz w:val="24"/>
                <w:szCs w:val="24"/>
                <w:highlight w:val="none"/>
              </w:rPr>
            </w:pPr>
            <w:r>
              <w:rPr>
                <w:rFonts w:hint="eastAsia" w:hAnsi="宋体"/>
                <w:b w:val="0"/>
                <w:bCs/>
                <w:color w:val="auto"/>
                <w:sz w:val="24"/>
                <w:szCs w:val="24"/>
                <w:highlight w:val="none"/>
              </w:rPr>
              <w:t xml:space="preserve">      </w:t>
            </w:r>
            <w:r>
              <w:rPr>
                <w:rFonts w:hint="eastAsia" w:hAnsi="宋体"/>
                <w:b w:val="0"/>
                <w:bCs/>
                <w:color w:val="auto"/>
                <w:sz w:val="24"/>
                <w:szCs w:val="24"/>
                <w:highlight w:val="none"/>
                <w:lang w:eastAsia="zh-CN"/>
              </w:rPr>
              <w:t>响应文件</w:t>
            </w:r>
            <w:r>
              <w:rPr>
                <w:rFonts w:hint="eastAsia" w:hAnsi="宋体"/>
                <w:b w:val="0"/>
                <w:bCs/>
                <w:color w:val="auto"/>
                <w:sz w:val="24"/>
                <w:szCs w:val="24"/>
                <w:highlight w:val="none"/>
              </w:rPr>
              <w:t xml:space="preserve">电子版格式：    WORD/EXCEL/PDF     </w:t>
            </w:r>
          </w:p>
          <w:p>
            <w:pPr>
              <w:spacing w:line="360" w:lineRule="auto"/>
              <w:rPr>
                <w:rFonts w:hint="eastAsia" w:hAnsi="宋体"/>
                <w:b/>
                <w:color w:val="auto"/>
                <w:sz w:val="24"/>
                <w:szCs w:val="24"/>
                <w:highlight w:val="none"/>
              </w:rPr>
            </w:pPr>
            <w:r>
              <w:rPr>
                <w:rFonts w:hint="eastAsia" w:hAnsi="宋体"/>
                <w:b w:val="0"/>
                <w:bCs/>
                <w:color w:val="auto"/>
                <w:sz w:val="24"/>
                <w:szCs w:val="24"/>
                <w:highlight w:val="none"/>
                <w:lang w:eastAsia="zh-CN"/>
              </w:rPr>
              <w:t>响应文件</w:t>
            </w:r>
            <w:r>
              <w:rPr>
                <w:rFonts w:hint="eastAsia" w:hAnsi="宋体"/>
                <w:b w:val="0"/>
                <w:bCs/>
                <w:color w:val="auto"/>
                <w:sz w:val="24"/>
                <w:szCs w:val="24"/>
                <w:highlight w:val="none"/>
              </w:rPr>
              <w:t>电子版密封方式：单独放入一个密封袋中，加贴封条，并在封套封口处加盖</w:t>
            </w:r>
            <w:r>
              <w:rPr>
                <w:rFonts w:hint="eastAsia" w:hAnsi="宋体"/>
                <w:b w:val="0"/>
                <w:bCs/>
                <w:color w:val="auto"/>
                <w:sz w:val="24"/>
                <w:szCs w:val="24"/>
                <w:highlight w:val="none"/>
                <w:lang w:eastAsia="zh-CN"/>
              </w:rPr>
              <w:t>供应商</w:t>
            </w:r>
            <w:r>
              <w:rPr>
                <w:rFonts w:hint="eastAsia" w:hAnsi="宋体"/>
                <w:b w:val="0"/>
                <w:bCs/>
                <w:color w:val="auto"/>
                <w:sz w:val="24"/>
                <w:szCs w:val="24"/>
                <w:highlight w:val="none"/>
              </w:rPr>
              <w:t>单位公章，在封套上标记“</w:t>
            </w:r>
            <w:r>
              <w:rPr>
                <w:rFonts w:hint="eastAsia" w:hAnsi="宋体"/>
                <w:b w:val="0"/>
                <w:bCs/>
                <w:color w:val="auto"/>
                <w:sz w:val="24"/>
                <w:szCs w:val="24"/>
                <w:highlight w:val="none"/>
                <w:lang w:eastAsia="zh-CN"/>
              </w:rPr>
              <w:t>响应文件</w:t>
            </w:r>
            <w:r>
              <w:rPr>
                <w:rFonts w:hint="eastAsia" w:hAnsi="宋体"/>
                <w:b w:val="0"/>
                <w:bCs/>
                <w:color w:val="auto"/>
                <w:sz w:val="24"/>
                <w:szCs w:val="24"/>
                <w:highlight w:val="none"/>
              </w:rPr>
              <w:t>电子版”字样。</w:t>
            </w:r>
          </w:p>
        </w:tc>
      </w:tr>
      <w:tr>
        <w:tblPrEx>
          <w:tblCellMar>
            <w:top w:w="0" w:type="dxa"/>
            <w:left w:w="108" w:type="dxa"/>
            <w:bottom w:w="0" w:type="dxa"/>
            <w:right w:w="108" w:type="dxa"/>
          </w:tblCellMar>
        </w:tblPrEx>
        <w:trPr>
          <w:trHeight w:val="539"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hAnsi="宋体"/>
                <w:color w:val="auto"/>
                <w:sz w:val="24"/>
                <w:szCs w:val="24"/>
                <w:highlight w:val="none"/>
              </w:rPr>
            </w:pPr>
            <w:r>
              <w:rPr>
                <w:rFonts w:hint="eastAsia" w:hAnsi="宋体"/>
                <w:color w:val="auto"/>
                <w:sz w:val="24"/>
                <w:szCs w:val="24"/>
                <w:highlight w:val="none"/>
              </w:rPr>
              <w:t>电子招投标须知</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hint="eastAsia" w:hAnsi="宋体"/>
                <w:color w:val="auto"/>
                <w:sz w:val="24"/>
                <w:szCs w:val="24"/>
                <w:highlight w:val="none"/>
              </w:rPr>
            </w:pPr>
            <w:r>
              <w:rPr>
                <w:rFonts w:hint="eastAsia" w:hAnsi="宋体"/>
                <w:color w:val="auto"/>
                <w:sz w:val="24"/>
                <w:szCs w:val="24"/>
                <w:highlight w:val="none"/>
                <w:lang w:eastAsia="zh-CN"/>
              </w:rPr>
              <w:t>磋商文件</w:t>
            </w:r>
            <w:r>
              <w:rPr>
                <w:rFonts w:hint="eastAsia" w:hAnsi="宋体"/>
                <w:color w:val="auto"/>
                <w:sz w:val="24"/>
                <w:szCs w:val="24"/>
                <w:highlight w:val="none"/>
              </w:rPr>
              <w:t>中其他章节与</w:t>
            </w:r>
            <w:r>
              <w:rPr>
                <w:rFonts w:hint="eastAsia" w:hAnsi="宋体"/>
                <w:color w:val="auto"/>
                <w:sz w:val="24"/>
                <w:szCs w:val="24"/>
                <w:highlight w:val="none"/>
                <w:lang w:eastAsia="zh-CN"/>
              </w:rPr>
              <w:t>供应商</w:t>
            </w:r>
            <w:r>
              <w:rPr>
                <w:rFonts w:hint="eastAsia" w:hAnsi="宋体"/>
                <w:color w:val="auto"/>
                <w:sz w:val="24"/>
                <w:szCs w:val="24"/>
                <w:highlight w:val="none"/>
              </w:rPr>
              <w:t>须知有不一致的内容，以</w:t>
            </w:r>
            <w:r>
              <w:rPr>
                <w:rFonts w:hint="eastAsia" w:hAnsi="宋体"/>
                <w:color w:val="auto"/>
                <w:sz w:val="24"/>
                <w:szCs w:val="24"/>
                <w:highlight w:val="none"/>
                <w:lang w:eastAsia="zh-CN"/>
              </w:rPr>
              <w:t>供应商</w:t>
            </w:r>
            <w:r>
              <w:rPr>
                <w:rFonts w:hint="eastAsia" w:hAnsi="宋体"/>
                <w:color w:val="auto"/>
                <w:sz w:val="24"/>
                <w:szCs w:val="24"/>
                <w:highlight w:val="none"/>
              </w:rPr>
              <w:t>须知内容为准。</w:t>
            </w:r>
          </w:p>
          <w:p>
            <w:pPr>
              <w:spacing w:line="360" w:lineRule="auto"/>
              <w:ind w:firstLine="240" w:firstLineChars="100"/>
              <w:rPr>
                <w:rFonts w:hint="eastAsia" w:hAnsi="宋体"/>
                <w:color w:val="auto"/>
                <w:sz w:val="24"/>
                <w:szCs w:val="24"/>
                <w:highlight w:val="none"/>
              </w:rPr>
            </w:pPr>
            <w:r>
              <w:rPr>
                <w:rFonts w:hint="eastAsia" w:hAnsi="宋体"/>
                <w:color w:val="auto"/>
                <w:sz w:val="24"/>
                <w:szCs w:val="24"/>
                <w:highlight w:val="none"/>
              </w:rPr>
              <w:t>1、</w:t>
            </w:r>
            <w:r>
              <w:rPr>
                <w:rFonts w:hint="eastAsia" w:hAnsi="宋体"/>
                <w:color w:val="auto"/>
                <w:sz w:val="24"/>
                <w:szCs w:val="24"/>
                <w:highlight w:val="none"/>
                <w:lang w:val="zh-CN"/>
              </w:rPr>
              <w:t>本次招标为电子招投标</w:t>
            </w:r>
            <w:r>
              <w:rPr>
                <w:rFonts w:hint="eastAsia" w:hAnsi="宋体"/>
                <w:color w:val="auto"/>
                <w:sz w:val="24"/>
                <w:szCs w:val="24"/>
                <w:highlight w:val="none"/>
              </w:rPr>
              <w:t>,</w:t>
            </w:r>
            <w:r>
              <w:rPr>
                <w:rFonts w:hint="eastAsia" w:hAnsi="宋体"/>
                <w:color w:val="auto"/>
                <w:sz w:val="24"/>
                <w:szCs w:val="24"/>
                <w:highlight w:val="none"/>
                <w:lang w:val="zh-CN"/>
              </w:rPr>
              <w:t>供应商需通过赢标平台菏泽专区</w:t>
            </w:r>
            <w:r>
              <w:rPr>
                <w:rFonts w:hint="eastAsia" w:hAnsi="宋体"/>
                <w:color w:val="auto"/>
                <w:sz w:val="24"/>
                <w:szCs w:val="24"/>
                <w:highlight w:val="none"/>
                <w:lang w:val="zh-CN"/>
              </w:rPr>
              <w:fldChar w:fldCharType="begin"/>
            </w:r>
            <w:r>
              <w:rPr>
                <w:rFonts w:hint="eastAsia" w:hAnsi="宋体"/>
                <w:color w:val="auto"/>
                <w:sz w:val="24"/>
                <w:szCs w:val="24"/>
                <w:highlight w:val="none"/>
              </w:rPr>
              <w:instrText xml:space="preserve"> HYPERLINK "http://hz.fzbidding.com/" </w:instrText>
            </w:r>
            <w:r>
              <w:rPr>
                <w:rFonts w:hint="eastAsia" w:hAnsi="宋体"/>
                <w:color w:val="auto"/>
                <w:sz w:val="24"/>
                <w:szCs w:val="24"/>
                <w:highlight w:val="none"/>
                <w:lang w:val="zh-CN"/>
              </w:rPr>
              <w:fldChar w:fldCharType="separate"/>
            </w:r>
            <w:r>
              <w:rPr>
                <w:rFonts w:hint="eastAsia" w:hAnsi="宋体"/>
                <w:color w:val="auto"/>
                <w:sz w:val="24"/>
                <w:szCs w:val="24"/>
                <w:highlight w:val="none"/>
              </w:rPr>
              <w:t>http://hz.fzbidding.com/</w:t>
            </w:r>
            <w:r>
              <w:rPr>
                <w:rFonts w:hint="eastAsia" w:hAnsi="宋体"/>
                <w:color w:val="auto"/>
                <w:sz w:val="24"/>
                <w:szCs w:val="24"/>
                <w:highlight w:val="none"/>
                <w:lang w:val="zh-CN"/>
              </w:rPr>
              <w:fldChar w:fldCharType="end"/>
            </w:r>
            <w:r>
              <w:rPr>
                <w:rFonts w:hint="eastAsia" w:hAnsi="宋体"/>
                <w:color w:val="auto"/>
                <w:sz w:val="24"/>
                <w:szCs w:val="24"/>
                <w:highlight w:val="none"/>
                <w:lang w:val="zh-CN"/>
              </w:rPr>
              <w:t>下载相应的电子磋商文件</w:t>
            </w:r>
            <w:r>
              <w:rPr>
                <w:rFonts w:hint="eastAsia" w:hAnsi="宋体"/>
                <w:color w:val="auto"/>
                <w:sz w:val="24"/>
                <w:szCs w:val="24"/>
                <w:highlight w:val="none"/>
              </w:rPr>
              <w:t>，</w:t>
            </w:r>
            <w:r>
              <w:rPr>
                <w:rFonts w:hint="eastAsia" w:hAnsi="宋体"/>
                <w:color w:val="auto"/>
                <w:sz w:val="24"/>
                <w:szCs w:val="24"/>
                <w:highlight w:val="none"/>
                <w:lang w:val="zh-CN"/>
              </w:rPr>
              <w:t>并上传经</w:t>
            </w:r>
            <w:r>
              <w:rPr>
                <w:rFonts w:hint="eastAsia" w:hAnsi="宋体"/>
                <w:color w:val="auto"/>
                <w:sz w:val="24"/>
                <w:szCs w:val="24"/>
                <w:highlight w:val="none"/>
              </w:rPr>
              <w:t>CA</w:t>
            </w:r>
            <w:r>
              <w:rPr>
                <w:rFonts w:hint="eastAsia" w:hAnsi="宋体"/>
                <w:color w:val="auto"/>
                <w:sz w:val="24"/>
                <w:szCs w:val="24"/>
                <w:highlight w:val="none"/>
                <w:lang w:val="zh-CN"/>
              </w:rPr>
              <w:t>加密的电子响应文件。</w:t>
            </w:r>
          </w:p>
          <w:p>
            <w:pPr>
              <w:spacing w:line="360" w:lineRule="auto"/>
              <w:ind w:firstLine="240" w:firstLineChars="100"/>
              <w:rPr>
                <w:rFonts w:hint="eastAsia" w:hAnsi="宋体"/>
                <w:color w:val="auto"/>
                <w:sz w:val="24"/>
                <w:szCs w:val="24"/>
                <w:highlight w:val="none"/>
                <w:lang w:val="zh-CN"/>
              </w:rPr>
            </w:pPr>
            <w:r>
              <w:rPr>
                <w:rFonts w:hint="eastAsia" w:hAnsi="宋体"/>
                <w:color w:val="auto"/>
                <w:sz w:val="24"/>
                <w:szCs w:val="24"/>
                <w:highlight w:val="none"/>
              </w:rPr>
              <w:t>2、</w:t>
            </w:r>
            <w:r>
              <w:rPr>
                <w:rFonts w:hint="eastAsia" w:hAnsi="宋体"/>
                <w:color w:val="auto"/>
                <w:sz w:val="24"/>
                <w:szCs w:val="24"/>
                <w:highlight w:val="none"/>
                <w:lang w:val="zh-CN"/>
              </w:rPr>
              <w:t>在线递交电子响应文件前，供应商应当使用投标客户端及CA为响应文件加密，加密时所用响应文件均只能使用同一把企业CA证书进行加密，否则引起的解密失败的责任由供应商自行承担。加密后请使用投标客户端软件验证解密，以确保电子响应文件未在加密过程中损坏。供应商未按规定加密的响应文件，赢标平台菏泽专区</w:t>
            </w:r>
            <w:r>
              <w:rPr>
                <w:rFonts w:hint="eastAsia" w:hAnsi="宋体"/>
                <w:color w:val="auto"/>
                <w:sz w:val="24"/>
                <w:szCs w:val="24"/>
                <w:highlight w:val="none"/>
                <w:lang w:val="zh-CN"/>
              </w:rPr>
              <w:fldChar w:fldCharType="begin"/>
            </w:r>
            <w:r>
              <w:rPr>
                <w:rFonts w:hint="eastAsia" w:hAnsi="宋体"/>
                <w:color w:val="auto"/>
                <w:sz w:val="24"/>
                <w:szCs w:val="24"/>
                <w:highlight w:val="none"/>
                <w:lang w:val="zh-CN"/>
              </w:rPr>
              <w:instrText xml:space="preserve"> HYPERLINK "http://hz.fzbidding.com/" </w:instrText>
            </w:r>
            <w:r>
              <w:rPr>
                <w:rFonts w:hint="eastAsia" w:hAnsi="宋体"/>
                <w:color w:val="auto"/>
                <w:sz w:val="24"/>
                <w:szCs w:val="24"/>
                <w:highlight w:val="none"/>
                <w:lang w:val="zh-CN"/>
              </w:rPr>
              <w:fldChar w:fldCharType="separate"/>
            </w:r>
            <w:r>
              <w:rPr>
                <w:rFonts w:hint="eastAsia" w:hAnsi="宋体"/>
                <w:color w:val="auto"/>
                <w:sz w:val="24"/>
                <w:szCs w:val="24"/>
                <w:highlight w:val="none"/>
                <w:lang w:val="zh-CN"/>
              </w:rPr>
              <w:t>http://hz.fzbidding.com</w:t>
            </w:r>
            <w:r>
              <w:rPr>
                <w:rFonts w:hint="eastAsia" w:hAnsi="宋体"/>
                <w:color w:val="auto"/>
                <w:sz w:val="24"/>
                <w:szCs w:val="24"/>
                <w:highlight w:val="none"/>
                <w:lang w:val="zh-CN"/>
              </w:rPr>
              <w:fldChar w:fldCharType="end"/>
            </w:r>
            <w:r>
              <w:rPr>
                <w:rFonts w:hint="eastAsia" w:hAnsi="宋体"/>
                <w:color w:val="auto"/>
                <w:sz w:val="24"/>
                <w:szCs w:val="24"/>
                <w:highlight w:val="none"/>
                <w:lang w:val="zh-CN"/>
              </w:rPr>
              <w:t>/将拒绝接收。</w:t>
            </w:r>
          </w:p>
          <w:p>
            <w:pPr>
              <w:spacing w:line="360" w:lineRule="auto"/>
              <w:ind w:firstLine="240" w:firstLineChars="100"/>
              <w:rPr>
                <w:rFonts w:hint="eastAsia" w:hAnsi="宋体"/>
                <w:color w:val="auto"/>
                <w:sz w:val="24"/>
                <w:szCs w:val="24"/>
                <w:highlight w:val="none"/>
                <w:lang w:val="zh-CN"/>
              </w:rPr>
            </w:pPr>
            <w:r>
              <w:rPr>
                <w:rFonts w:hint="eastAsia" w:hAnsi="宋体"/>
                <w:color w:val="auto"/>
                <w:sz w:val="24"/>
                <w:szCs w:val="24"/>
                <w:highlight w:val="none"/>
                <w:lang w:val="zh-CN"/>
              </w:rPr>
              <w:t>供应商须在投标截止时间前，通过投标客户端生成的加密文件，并在磋商文件规定的投标截止时间前登陆赢标平台菏泽专区</w:t>
            </w:r>
            <w:r>
              <w:rPr>
                <w:rFonts w:hint="eastAsia" w:hAnsi="宋体"/>
                <w:color w:val="auto"/>
                <w:sz w:val="24"/>
                <w:szCs w:val="24"/>
                <w:highlight w:val="none"/>
                <w:lang w:val="zh-CN"/>
              </w:rPr>
              <w:fldChar w:fldCharType="begin"/>
            </w:r>
            <w:r>
              <w:rPr>
                <w:rFonts w:hint="eastAsia" w:hAnsi="宋体"/>
                <w:color w:val="auto"/>
                <w:sz w:val="24"/>
                <w:szCs w:val="24"/>
                <w:highlight w:val="none"/>
                <w:lang w:val="zh-CN"/>
              </w:rPr>
              <w:instrText xml:space="preserve"> HYPERLINK "http://hz.fzbidding.com/" </w:instrText>
            </w:r>
            <w:r>
              <w:rPr>
                <w:rFonts w:hint="eastAsia" w:hAnsi="宋体"/>
                <w:color w:val="auto"/>
                <w:sz w:val="24"/>
                <w:szCs w:val="24"/>
                <w:highlight w:val="none"/>
                <w:lang w:val="zh-CN"/>
              </w:rPr>
              <w:fldChar w:fldCharType="separate"/>
            </w:r>
            <w:r>
              <w:rPr>
                <w:rFonts w:hint="eastAsia" w:hAnsi="宋体"/>
                <w:color w:val="auto"/>
                <w:sz w:val="24"/>
                <w:szCs w:val="24"/>
                <w:highlight w:val="none"/>
                <w:lang w:val="zh-CN"/>
              </w:rPr>
              <w:t>http://hz.fzbidding.com</w:t>
            </w:r>
            <w:r>
              <w:rPr>
                <w:rFonts w:hint="eastAsia" w:hAnsi="宋体"/>
                <w:color w:val="auto"/>
                <w:sz w:val="24"/>
                <w:szCs w:val="24"/>
                <w:highlight w:val="none"/>
                <w:lang w:val="zh-CN"/>
              </w:rPr>
              <w:fldChar w:fldCharType="end"/>
            </w:r>
            <w:r>
              <w:rPr>
                <w:rFonts w:hint="eastAsia" w:hAnsi="宋体"/>
                <w:color w:val="auto"/>
                <w:sz w:val="24"/>
                <w:szCs w:val="24"/>
                <w:highlight w:val="none"/>
                <w:lang w:val="zh-CN"/>
              </w:rPr>
              <w:t>/递交电子响应文件。</w:t>
            </w:r>
          </w:p>
          <w:p>
            <w:pPr>
              <w:spacing w:line="360" w:lineRule="auto"/>
              <w:ind w:firstLine="240" w:firstLineChars="100"/>
              <w:rPr>
                <w:rFonts w:hint="eastAsia" w:hAnsi="宋体"/>
                <w:color w:val="auto"/>
                <w:sz w:val="24"/>
                <w:szCs w:val="24"/>
                <w:highlight w:val="none"/>
                <w:lang w:val="zh-CN"/>
              </w:rPr>
            </w:pPr>
            <w:r>
              <w:rPr>
                <w:rFonts w:hint="eastAsia" w:hAnsi="宋体"/>
                <w:color w:val="auto"/>
                <w:sz w:val="24"/>
                <w:szCs w:val="24"/>
                <w:highlight w:val="none"/>
              </w:rPr>
              <w:t>3、</w:t>
            </w:r>
            <w:r>
              <w:rPr>
                <w:rFonts w:hint="eastAsia" w:hAnsi="宋体"/>
                <w:color w:val="auto"/>
                <w:sz w:val="24"/>
                <w:szCs w:val="24"/>
                <w:highlight w:val="none"/>
                <w:lang w:val="zh-CN"/>
              </w:rPr>
              <w:t>供应商在递交响应文件之后、在规定的报价截止时间之前，可随时登陆赢标平台菏泽专区http://hz.fzbidding.com/撤回响应文件。需要补充或者修改响应文件时，必须先撤回响应文件，修改后重新递交。重新递交的响应文件应按磋商文件的规定编制、加密和CA签名。在投标截止时间后，不能修改或撤回响应文件。</w:t>
            </w:r>
          </w:p>
          <w:p>
            <w:pPr>
              <w:spacing w:line="360" w:lineRule="auto"/>
              <w:ind w:firstLine="240" w:firstLineChars="100"/>
              <w:rPr>
                <w:rFonts w:hint="eastAsia" w:hAnsi="宋体"/>
                <w:color w:val="auto"/>
                <w:sz w:val="24"/>
                <w:szCs w:val="24"/>
                <w:highlight w:val="none"/>
                <w:lang w:val="zh-CN"/>
              </w:rPr>
            </w:pPr>
            <w:r>
              <w:rPr>
                <w:rFonts w:hint="eastAsia" w:hAnsi="宋体"/>
                <w:color w:val="auto"/>
                <w:sz w:val="24"/>
                <w:szCs w:val="24"/>
                <w:highlight w:val="none"/>
              </w:rPr>
              <w:t>4、</w:t>
            </w:r>
            <w:r>
              <w:rPr>
                <w:rFonts w:hint="eastAsia" w:hAnsi="宋体"/>
                <w:color w:val="auto"/>
                <w:sz w:val="24"/>
                <w:szCs w:val="24"/>
                <w:highlight w:val="none"/>
                <w:lang w:val="zh-CN"/>
              </w:rPr>
              <w:t>采购人按磋商文件中规定的时间和地点公开开标，供应商必须自带电脑、CA准时在线参加开标，解密时间规定为30分钟，供应商需使用CA在规定的时间内自行完成解密，解密结束后对开标记录进行电子签名。若供应商在解密规定时间内未完成电子标解密操作，视为放弃该项目投标。电子开标过程出现故障时，按相关部门的规定处理。</w:t>
            </w:r>
          </w:p>
          <w:p>
            <w:pPr>
              <w:spacing w:line="360" w:lineRule="auto"/>
              <w:ind w:firstLine="240" w:firstLineChars="100"/>
              <w:rPr>
                <w:rFonts w:hint="eastAsia" w:hAnsi="宋体"/>
                <w:color w:val="auto"/>
                <w:sz w:val="24"/>
                <w:szCs w:val="24"/>
                <w:highlight w:val="none"/>
              </w:rPr>
            </w:pPr>
            <w:r>
              <w:rPr>
                <w:rFonts w:hint="eastAsia" w:hAnsi="宋体"/>
                <w:color w:val="auto"/>
                <w:sz w:val="24"/>
                <w:szCs w:val="24"/>
                <w:highlight w:val="none"/>
              </w:rPr>
              <w:t>5、</w:t>
            </w:r>
            <w:r>
              <w:rPr>
                <w:rFonts w:hint="eastAsia" w:hAnsi="宋体"/>
                <w:color w:val="auto"/>
                <w:sz w:val="24"/>
                <w:szCs w:val="24"/>
                <w:highlight w:val="none"/>
                <w:lang w:val="zh-CN"/>
              </w:rPr>
              <w:t>《操作手册》赢标平台菏泽专区</w:t>
            </w:r>
            <w:r>
              <w:rPr>
                <w:rFonts w:hint="eastAsia" w:hAnsi="宋体"/>
                <w:color w:val="auto"/>
                <w:sz w:val="24"/>
                <w:szCs w:val="24"/>
                <w:highlight w:val="none"/>
                <w:lang w:val="zh-CN"/>
              </w:rPr>
              <w:fldChar w:fldCharType="begin"/>
            </w:r>
            <w:r>
              <w:rPr>
                <w:rFonts w:hint="eastAsia" w:hAnsi="宋体"/>
                <w:color w:val="auto"/>
                <w:sz w:val="24"/>
                <w:szCs w:val="24"/>
                <w:highlight w:val="none"/>
                <w:lang w:val="zh-CN"/>
              </w:rPr>
              <w:instrText xml:space="preserve"> HYPERLINK "http://hz.fzbidding.com/" </w:instrText>
            </w:r>
            <w:r>
              <w:rPr>
                <w:rFonts w:hint="eastAsia" w:hAnsi="宋体"/>
                <w:color w:val="auto"/>
                <w:sz w:val="24"/>
                <w:szCs w:val="24"/>
                <w:highlight w:val="none"/>
                <w:lang w:val="zh-CN"/>
              </w:rPr>
              <w:fldChar w:fldCharType="separate"/>
            </w:r>
            <w:r>
              <w:rPr>
                <w:rFonts w:hint="eastAsia" w:hAnsi="宋体"/>
                <w:color w:val="auto"/>
                <w:sz w:val="24"/>
                <w:szCs w:val="24"/>
                <w:highlight w:val="none"/>
                <w:lang w:val="zh-CN"/>
              </w:rPr>
              <w:t>http://hz.fzbidding.com/</w:t>
            </w:r>
            <w:r>
              <w:rPr>
                <w:rFonts w:hint="eastAsia" w:hAnsi="宋体"/>
                <w:color w:val="auto"/>
                <w:sz w:val="24"/>
                <w:szCs w:val="24"/>
                <w:highlight w:val="none"/>
                <w:lang w:val="zh-CN"/>
              </w:rPr>
              <w:fldChar w:fldCharType="end"/>
            </w:r>
            <w:r>
              <w:rPr>
                <w:rFonts w:hint="eastAsia" w:hAnsi="宋体"/>
                <w:color w:val="auto"/>
                <w:sz w:val="24"/>
                <w:szCs w:val="24"/>
                <w:highlight w:val="none"/>
                <w:lang w:val="zh-CN"/>
              </w:rPr>
              <w:t>“下载中心”栏目进行下载。供应商在使用电子招标投标平台时，如有任何疑问，请拨打客服电话15898683755   15552513997或项目经理电话。</w:t>
            </w:r>
          </w:p>
        </w:tc>
      </w:tr>
      <w:tr>
        <w:tblPrEx>
          <w:tblCellMar>
            <w:top w:w="0" w:type="dxa"/>
            <w:left w:w="108" w:type="dxa"/>
            <w:bottom w:w="0" w:type="dxa"/>
            <w:right w:w="108" w:type="dxa"/>
          </w:tblCellMar>
        </w:tblPrEx>
        <w:trPr>
          <w:trHeight w:val="539"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hAnsi="宋体"/>
                <w:color w:val="auto"/>
                <w:sz w:val="24"/>
                <w:szCs w:val="24"/>
                <w:highlight w:val="none"/>
              </w:rPr>
            </w:pPr>
            <w:r>
              <w:rPr>
                <w:rFonts w:hint="eastAsia" w:hAnsi="宋体"/>
                <w:color w:val="auto"/>
                <w:sz w:val="24"/>
                <w:szCs w:val="24"/>
                <w:highlight w:val="none"/>
              </w:rPr>
              <w:t>电子招投标的应急措施</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hint="eastAsia" w:hAnsi="宋体"/>
                <w:color w:val="auto"/>
                <w:sz w:val="24"/>
                <w:szCs w:val="24"/>
                <w:highlight w:val="none"/>
              </w:rPr>
            </w:pPr>
            <w:r>
              <w:rPr>
                <w:rFonts w:hint="eastAsia" w:hAnsi="宋体"/>
                <w:color w:val="auto"/>
                <w:sz w:val="24"/>
                <w:szCs w:val="24"/>
                <w:highlight w:val="none"/>
              </w:rPr>
              <w:t>电子开标、评标如出现下列原因，导致系统无法正常运行或无法正常评标时，应采取应急措施。</w:t>
            </w:r>
          </w:p>
          <w:p>
            <w:pPr>
              <w:spacing w:line="360" w:lineRule="auto"/>
              <w:ind w:firstLine="240" w:firstLineChars="100"/>
              <w:rPr>
                <w:rFonts w:hint="eastAsia" w:hAnsi="宋体"/>
                <w:color w:val="auto"/>
                <w:sz w:val="24"/>
                <w:szCs w:val="24"/>
                <w:highlight w:val="none"/>
              </w:rPr>
            </w:pPr>
            <w:r>
              <w:rPr>
                <w:rFonts w:hint="eastAsia" w:hAnsi="宋体"/>
                <w:color w:val="auto"/>
                <w:sz w:val="24"/>
                <w:szCs w:val="24"/>
                <w:highlight w:val="none"/>
              </w:rPr>
              <w:t>（1）系统服务器发生故障，无法访问或无法使用系统；</w:t>
            </w:r>
          </w:p>
          <w:p>
            <w:pPr>
              <w:spacing w:line="360" w:lineRule="auto"/>
              <w:ind w:firstLine="240" w:firstLineChars="100"/>
              <w:rPr>
                <w:rFonts w:hint="eastAsia" w:hAnsi="宋体"/>
                <w:color w:val="auto"/>
                <w:sz w:val="24"/>
                <w:szCs w:val="24"/>
                <w:highlight w:val="none"/>
              </w:rPr>
            </w:pPr>
            <w:r>
              <w:rPr>
                <w:rFonts w:hint="eastAsia" w:hAnsi="宋体"/>
                <w:color w:val="auto"/>
                <w:sz w:val="24"/>
                <w:szCs w:val="24"/>
                <w:highlight w:val="none"/>
              </w:rPr>
              <w:t>（2）系统的软件或数据库出现错误，不能进行正常操作；</w:t>
            </w:r>
          </w:p>
          <w:p>
            <w:pPr>
              <w:spacing w:line="360" w:lineRule="auto"/>
              <w:ind w:firstLine="240" w:firstLineChars="100"/>
              <w:rPr>
                <w:rFonts w:hint="eastAsia" w:hAnsi="宋体"/>
                <w:color w:val="auto"/>
                <w:sz w:val="24"/>
                <w:szCs w:val="24"/>
                <w:highlight w:val="none"/>
              </w:rPr>
            </w:pPr>
            <w:r>
              <w:rPr>
                <w:rFonts w:hint="eastAsia" w:hAnsi="宋体"/>
                <w:color w:val="auto"/>
                <w:sz w:val="24"/>
                <w:szCs w:val="24"/>
                <w:highlight w:val="none"/>
              </w:rPr>
              <w:t>（3）系统发现有安全漏洞，有潜在的泄密危险；</w:t>
            </w:r>
          </w:p>
          <w:p>
            <w:pPr>
              <w:spacing w:line="360" w:lineRule="auto"/>
              <w:ind w:firstLine="240" w:firstLineChars="100"/>
              <w:rPr>
                <w:rFonts w:hint="eastAsia" w:hAnsi="宋体"/>
                <w:color w:val="auto"/>
                <w:sz w:val="24"/>
                <w:szCs w:val="24"/>
                <w:highlight w:val="none"/>
              </w:rPr>
            </w:pPr>
            <w:r>
              <w:rPr>
                <w:rFonts w:hint="eastAsia" w:hAnsi="宋体"/>
                <w:color w:val="auto"/>
                <w:sz w:val="24"/>
                <w:szCs w:val="24"/>
                <w:highlight w:val="none"/>
              </w:rPr>
              <w:t>（4）病毒发作或受到外来病毒的攻击；</w:t>
            </w:r>
          </w:p>
          <w:p>
            <w:pPr>
              <w:spacing w:line="360" w:lineRule="auto"/>
              <w:ind w:firstLine="240" w:firstLineChars="100"/>
              <w:rPr>
                <w:rFonts w:hint="eastAsia" w:hAnsi="宋体"/>
                <w:color w:val="auto"/>
                <w:sz w:val="24"/>
                <w:szCs w:val="24"/>
                <w:highlight w:val="none"/>
              </w:rPr>
            </w:pPr>
            <w:r>
              <w:rPr>
                <w:rFonts w:hint="eastAsia" w:hAnsi="宋体"/>
                <w:color w:val="auto"/>
                <w:sz w:val="24"/>
                <w:szCs w:val="24"/>
                <w:highlight w:val="none"/>
              </w:rPr>
              <w:t>（5）采购代理机构的 CA 锁失效等原因导致无法解密的；</w:t>
            </w:r>
          </w:p>
          <w:p>
            <w:pPr>
              <w:spacing w:line="360" w:lineRule="auto"/>
              <w:ind w:firstLine="240" w:firstLineChars="100"/>
              <w:rPr>
                <w:rFonts w:hint="eastAsia" w:hAnsi="宋体"/>
                <w:color w:val="auto"/>
                <w:sz w:val="24"/>
                <w:szCs w:val="24"/>
                <w:highlight w:val="none"/>
              </w:rPr>
            </w:pPr>
            <w:r>
              <w:rPr>
                <w:rFonts w:hint="eastAsia" w:hAnsi="宋体"/>
                <w:color w:val="auto"/>
                <w:sz w:val="24"/>
                <w:szCs w:val="24"/>
                <w:highlight w:val="none"/>
              </w:rPr>
              <w:t>（6）其他不可抗拒的客观原因造成开评标系统无法正常使用。</w:t>
            </w:r>
          </w:p>
          <w:p>
            <w:pPr>
              <w:spacing w:line="360" w:lineRule="auto"/>
              <w:ind w:firstLine="240" w:firstLineChars="100"/>
              <w:rPr>
                <w:rFonts w:hint="eastAsia" w:hAnsi="宋体"/>
                <w:color w:val="auto"/>
                <w:sz w:val="24"/>
                <w:szCs w:val="24"/>
                <w:highlight w:val="none"/>
              </w:rPr>
            </w:pPr>
            <w:r>
              <w:rPr>
                <w:rFonts w:hint="eastAsia" w:hAnsi="宋体"/>
                <w:color w:val="auto"/>
                <w:sz w:val="24"/>
                <w:szCs w:val="24"/>
                <w:highlight w:val="none"/>
              </w:rPr>
              <w:t>出现上述情况时，对于未开标的项目应暂停开标，对已在系统内评审的，也应立即停止。交易中心信息科确认问题 原因后，交易中心政府采购科视情况提议，并经评审委员会同意后，对于系统原因造成项目无法评审，可将系统内评审改为 PDF 版文件评审。采取应急措施时，必须对原有资料及信息作妥善保密处理。</w:t>
            </w:r>
          </w:p>
        </w:tc>
      </w:tr>
      <w:tr>
        <w:tblPrEx>
          <w:tblCellMar>
            <w:top w:w="0" w:type="dxa"/>
            <w:left w:w="108" w:type="dxa"/>
            <w:bottom w:w="0" w:type="dxa"/>
            <w:right w:w="108" w:type="dxa"/>
          </w:tblCellMar>
        </w:tblPrEx>
        <w:trPr>
          <w:trHeight w:val="539"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241" w:firstLineChars="100"/>
              <w:textAlignment w:val="center"/>
              <w:rPr>
                <w:rFonts w:hint="eastAsia" w:hAnsi="宋体"/>
                <w:color w:val="auto"/>
                <w:sz w:val="24"/>
                <w:szCs w:val="24"/>
                <w:highlight w:val="none"/>
              </w:rPr>
            </w:pPr>
            <w:r>
              <w:rPr>
                <w:rFonts w:hint="eastAsia" w:hAnsi="宋体"/>
                <w:b/>
                <w:sz w:val="24"/>
                <w:szCs w:val="24"/>
                <w:lang w:eastAsia="zh-CN"/>
              </w:rPr>
              <w:t>信用评价</w:t>
            </w:r>
          </w:p>
        </w:tc>
        <w:tc>
          <w:tcPr>
            <w:tcW w:w="70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hAnsi="宋体"/>
                <w:color w:val="auto"/>
                <w:sz w:val="24"/>
                <w:szCs w:val="24"/>
                <w:highlight w:val="none"/>
              </w:rPr>
            </w:pPr>
            <w:r>
              <w:rPr>
                <w:rFonts w:hint="eastAsia" w:hAnsi="宋体"/>
                <w:b w:val="0"/>
                <w:bCs/>
                <w:sz w:val="24"/>
                <w:szCs w:val="24"/>
                <w:lang w:eastAsia="zh-CN"/>
              </w:rPr>
              <w:t>“供应商须在项目开标前，进入菏泽市政府采购公共服务平台（http://ggzypz.heze.gov.cn/），在服务平台点击【菏泽市政采信用管理系统】进入信用系统完成账号注册（已有账号的无需重复注册），登录系统截取当前的信用星级和分数，作为供应商信用情况的参考。在项目评标结束后，供应商需登录菏泽政采信用管理系统，对本次项目的各阶段参与主体完成信用评价并于系统内提交评价结果”。信用系统具体操作步骤详见【菏泽市政采信用管理系统】用户操作手册（http://47.104.12.130:10000/user/login）</w:t>
            </w:r>
          </w:p>
        </w:tc>
      </w:tr>
      <w:tr>
        <w:tblPrEx>
          <w:tblCellMar>
            <w:top w:w="0" w:type="dxa"/>
            <w:left w:w="108" w:type="dxa"/>
            <w:bottom w:w="0" w:type="dxa"/>
            <w:right w:w="108" w:type="dxa"/>
          </w:tblCellMar>
        </w:tblPrEx>
        <w:trPr>
          <w:trHeight w:val="539" w:hRule="atLeast"/>
          <w:jc w:val="center"/>
        </w:trPr>
        <w:tc>
          <w:tcPr>
            <w:tcW w:w="503" w:type="dxa"/>
            <w:tcBorders>
              <w:top w:val="single" w:color="auto" w:sz="4" w:space="0"/>
              <w:left w:val="single" w:color="auto" w:sz="4" w:space="0"/>
              <w:bottom w:val="single" w:color="auto" w:sz="4" w:space="0"/>
              <w:right w:val="single" w:color="auto" w:sz="4" w:space="0"/>
            </w:tcBorders>
            <w:vAlign w:val="center"/>
          </w:tcPr>
          <w:p>
            <w:pPr>
              <w:numPr>
                <w:ilvl w:val="0"/>
                <w:numId w:val="3"/>
              </w:numPr>
              <w:jc w:val="center"/>
              <w:rPr>
                <w:rFonts w:hAnsi="宋体"/>
                <w:color w:val="auto"/>
                <w:sz w:val="24"/>
                <w:szCs w:val="24"/>
                <w:highlight w:val="none"/>
              </w:rPr>
            </w:pPr>
          </w:p>
        </w:tc>
        <w:tc>
          <w:tcPr>
            <w:tcW w:w="89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rPr>
                <w:rFonts w:hint="eastAsia" w:hAnsi="宋体"/>
                <w:color w:val="auto"/>
                <w:sz w:val="24"/>
                <w:szCs w:val="24"/>
                <w:highlight w:val="none"/>
              </w:rPr>
            </w:pPr>
            <w:r>
              <w:rPr>
                <w:rFonts w:hint="eastAsia" w:hAnsi="宋体"/>
                <w:color w:val="auto"/>
                <w:sz w:val="24"/>
                <w:szCs w:val="24"/>
                <w:highlight w:val="none"/>
                <w:lang w:val="ja-JP" w:eastAsia="ja-JP"/>
              </w:rPr>
              <w:t>注：因本项目实行网上投标。如项目发布澄清、补充、修改信息，将在中国</w:t>
            </w:r>
            <w:r>
              <w:rPr>
                <w:rFonts w:hint="eastAsia" w:hAnsi="宋体"/>
                <w:color w:val="auto"/>
                <w:sz w:val="24"/>
                <w:szCs w:val="24"/>
                <w:highlight w:val="none"/>
                <w:lang w:val="ja-JP" w:eastAsia="zh-CN"/>
              </w:rPr>
              <w:t>山东政府采购网</w:t>
            </w:r>
            <w:r>
              <w:rPr>
                <w:rFonts w:hint="eastAsia" w:hAnsi="宋体"/>
                <w:color w:val="auto"/>
                <w:sz w:val="24"/>
                <w:szCs w:val="24"/>
                <w:highlight w:val="none"/>
              </w:rPr>
              <w:t>、菏泽市政府采购公共服务平台</w:t>
            </w:r>
            <w:r>
              <w:rPr>
                <w:rFonts w:hint="eastAsia" w:hAnsi="宋体"/>
                <w:color w:val="auto"/>
                <w:sz w:val="24"/>
                <w:szCs w:val="24"/>
                <w:highlight w:val="none"/>
                <w:lang w:eastAsia="zh-CN"/>
              </w:rPr>
              <w:t>、</w:t>
            </w:r>
            <w:r>
              <w:rPr>
                <w:rFonts w:hint="eastAsia" w:hAnsi="宋体"/>
                <w:color w:val="auto"/>
                <w:sz w:val="24"/>
                <w:szCs w:val="24"/>
                <w:highlight w:val="none"/>
                <w:lang w:val="zh-CN"/>
              </w:rPr>
              <w:t>赢标平台菏泽专区http://hz.fzbidding.com/、</w:t>
            </w:r>
            <w:r>
              <w:rPr>
                <w:rFonts w:hint="eastAsia" w:hAnsi="宋体" w:cs="Times New Roman"/>
                <w:color w:val="auto"/>
                <w:kern w:val="0"/>
                <w:sz w:val="24"/>
                <w:highlight w:val="none"/>
                <w:lang w:eastAsia="zh-CN"/>
              </w:rPr>
              <w:t>菏泽职业学院</w:t>
            </w:r>
            <w:r>
              <w:rPr>
                <w:rFonts w:hint="eastAsia" w:hAnsi="宋体" w:cs="Times New Roman"/>
                <w:color w:val="auto"/>
                <w:kern w:val="0"/>
                <w:sz w:val="24"/>
                <w:highlight w:val="none"/>
                <w:lang w:val="en-US" w:eastAsia="zh-CN"/>
              </w:rPr>
              <w:t>网站</w:t>
            </w:r>
            <w:r>
              <w:rPr>
                <w:rFonts w:hint="eastAsia" w:hAnsi="宋体"/>
                <w:color w:val="auto"/>
                <w:sz w:val="24"/>
                <w:szCs w:val="24"/>
                <w:highlight w:val="none"/>
                <w:lang w:val="ja-JP" w:eastAsia="ja-JP"/>
              </w:rPr>
              <w:t>进行公告。公告自发布之日起即视为通知到潜在</w:t>
            </w:r>
            <w:r>
              <w:rPr>
                <w:rFonts w:hint="eastAsia" w:hAnsi="宋体"/>
                <w:color w:val="auto"/>
                <w:sz w:val="24"/>
                <w:szCs w:val="24"/>
                <w:highlight w:val="none"/>
                <w:lang w:val="ja-JP" w:eastAsia="zh-CN"/>
              </w:rPr>
              <w:t>供应商</w:t>
            </w:r>
            <w:r>
              <w:rPr>
                <w:rFonts w:hint="eastAsia" w:hAnsi="宋体"/>
                <w:color w:val="auto"/>
                <w:sz w:val="24"/>
                <w:szCs w:val="24"/>
                <w:highlight w:val="none"/>
                <w:lang w:val="ja-JP" w:eastAsia="ja-JP"/>
              </w:rPr>
              <w:t>。</w:t>
            </w:r>
          </w:p>
        </w:tc>
      </w:tr>
      <w:tr>
        <w:tblPrEx>
          <w:tblCellMar>
            <w:top w:w="0" w:type="dxa"/>
            <w:left w:w="108" w:type="dxa"/>
            <w:bottom w:w="0" w:type="dxa"/>
            <w:right w:w="108" w:type="dxa"/>
          </w:tblCellMar>
        </w:tblPrEx>
        <w:trPr>
          <w:trHeight w:val="516" w:hRule="atLeast"/>
          <w:jc w:val="center"/>
        </w:trPr>
        <w:tc>
          <w:tcPr>
            <w:tcW w:w="9494" w:type="dxa"/>
            <w:gridSpan w:val="3"/>
            <w:tcBorders>
              <w:top w:val="single" w:color="auto" w:sz="4" w:space="0"/>
              <w:left w:val="single" w:color="auto" w:sz="4" w:space="0"/>
              <w:bottom w:val="single" w:color="auto" w:sz="4" w:space="0"/>
              <w:right w:val="single" w:color="auto" w:sz="4" w:space="0"/>
            </w:tcBorders>
            <w:vAlign w:val="center"/>
          </w:tcPr>
          <w:p>
            <w:pPr>
              <w:jc w:val="center"/>
              <w:rPr>
                <w:rFonts w:hAnsi="宋体"/>
                <w:color w:val="auto"/>
                <w:sz w:val="24"/>
                <w:szCs w:val="24"/>
                <w:highlight w:val="none"/>
              </w:rPr>
            </w:pPr>
            <w:r>
              <w:rPr>
                <w:rFonts w:hint="eastAsia" w:hAnsi="宋体"/>
                <w:b/>
                <w:color w:val="auto"/>
                <w:sz w:val="24"/>
                <w:szCs w:val="24"/>
                <w:highlight w:val="none"/>
              </w:rPr>
              <w:t>本磋商文件的最终解释权归采购人所有。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494" w:type="dxa"/>
            <w:gridSpan w:val="3"/>
            <w:vAlign w:val="center"/>
          </w:tcPr>
          <w:p>
            <w:pPr>
              <w:widowControl/>
              <w:tabs>
                <w:tab w:val="left" w:pos="1157"/>
              </w:tabs>
              <w:jc w:val="left"/>
              <w:rPr>
                <w:rFonts w:asciiTheme="minorEastAsia" w:hAnsiTheme="minorEastAsia" w:eastAsiaTheme="minorEastAsia" w:cstheme="minorEastAsia"/>
                <w:b/>
                <w:bCs/>
                <w:color w:val="auto"/>
                <w:sz w:val="24"/>
                <w:highlight w:val="none"/>
              </w:rPr>
            </w:pPr>
            <w:r>
              <w:rPr>
                <w:rFonts w:hint="eastAsia" w:hAnsi="宋体"/>
                <w:color w:val="auto"/>
                <w:sz w:val="24"/>
                <w:szCs w:val="24"/>
                <w:highlight w:val="none"/>
              </w:rPr>
              <w:t>磋商文件中其他章节与供应商须知前附表有不一致的内容，以供应商须知前附表内容为准。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94" w:type="dxa"/>
            <w:gridSpan w:val="3"/>
            <w:vAlign w:val="center"/>
          </w:tcPr>
          <w:p>
            <w:pPr>
              <w:widowControl/>
              <w:jc w:val="left"/>
              <w:rPr>
                <w:rFonts w:hAnsi="宋体"/>
                <w:color w:val="auto"/>
                <w:kern w:val="0"/>
                <w:sz w:val="24"/>
                <w:szCs w:val="24"/>
                <w:highlight w:val="none"/>
                <w:lang w:bidi="ar"/>
              </w:rPr>
            </w:pPr>
            <w:r>
              <w:rPr>
                <w:rFonts w:hint="eastAsia" w:hAnsi="宋体"/>
                <w:color w:val="auto"/>
                <w:kern w:val="0"/>
                <w:sz w:val="24"/>
                <w:szCs w:val="24"/>
                <w:highlight w:val="none"/>
                <w:lang w:bidi="ar"/>
              </w:rPr>
              <w:t>本次采购不允许有报价备选方案。</w:t>
            </w:r>
          </w:p>
        </w:tc>
      </w:tr>
    </w:tbl>
    <w:p>
      <w:pPr>
        <w:rPr>
          <w:rFonts w:asciiTheme="minorEastAsia" w:hAnsiTheme="minorEastAsia" w:eastAsiaTheme="minorEastAsia" w:cstheme="minorEastAsia"/>
          <w:color w:val="auto"/>
          <w:sz w:val="30"/>
          <w:szCs w:val="30"/>
          <w:highlight w:val="none"/>
        </w:rPr>
      </w:pPr>
      <w:bookmarkStart w:id="14" w:name="_Toc27412"/>
      <w:r>
        <w:rPr>
          <w:rFonts w:hint="eastAsia" w:asciiTheme="minorEastAsia" w:hAnsiTheme="minorEastAsia" w:eastAsiaTheme="minorEastAsia" w:cstheme="minorEastAsia"/>
          <w:color w:val="auto"/>
          <w:sz w:val="30"/>
          <w:szCs w:val="30"/>
          <w:highlight w:val="none"/>
        </w:rPr>
        <w:br w:type="page"/>
      </w:r>
    </w:p>
    <w:p>
      <w:pPr>
        <w:pStyle w:val="29"/>
        <w:spacing w:line="360" w:lineRule="auto"/>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一、适用范围</w:t>
      </w:r>
      <w:bookmarkEnd w:id="12"/>
      <w:bookmarkEnd w:id="13"/>
      <w:bookmarkEnd w:id="14"/>
    </w:p>
    <w:p>
      <w:pPr>
        <w:pStyle w:val="72"/>
        <w:spacing w:line="360" w:lineRule="auto"/>
        <w:ind w:firstLine="48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本竞争性磋商文件（简称竞争性磋商文件）仅适用于本次竞争性磋商文件第一部分《竞争性磋商公告》中所叙述的采购项目。</w:t>
      </w:r>
    </w:p>
    <w:p>
      <w:pPr>
        <w:pStyle w:val="29"/>
        <w:spacing w:line="360" w:lineRule="auto"/>
        <w:rPr>
          <w:rFonts w:asciiTheme="minorEastAsia" w:hAnsiTheme="minorEastAsia" w:eastAsiaTheme="minorEastAsia" w:cstheme="minorEastAsia"/>
          <w:color w:val="auto"/>
          <w:sz w:val="30"/>
          <w:szCs w:val="30"/>
          <w:highlight w:val="none"/>
        </w:rPr>
      </w:pPr>
      <w:bookmarkStart w:id="15" w:name="_Toc12984"/>
      <w:bookmarkStart w:id="16" w:name="_Toc332979545"/>
      <w:bookmarkStart w:id="17" w:name="_Toc325620704"/>
      <w:r>
        <w:rPr>
          <w:rFonts w:hint="eastAsia" w:asciiTheme="minorEastAsia" w:hAnsiTheme="minorEastAsia" w:eastAsiaTheme="minorEastAsia" w:cstheme="minorEastAsia"/>
          <w:color w:val="auto"/>
          <w:sz w:val="30"/>
          <w:szCs w:val="30"/>
          <w:highlight w:val="none"/>
        </w:rPr>
        <w:t>二、定义</w:t>
      </w:r>
      <w:bookmarkEnd w:id="15"/>
      <w:bookmarkEnd w:id="16"/>
      <w:bookmarkEnd w:id="17"/>
    </w:p>
    <w:p>
      <w:pPr>
        <w:pStyle w:val="72"/>
        <w:spacing w:line="360" w:lineRule="auto"/>
        <w:ind w:firstLine="48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1．“采购人”系指</w:t>
      </w:r>
      <w:r>
        <w:rPr>
          <w:rFonts w:hint="eastAsia" w:asciiTheme="minorEastAsia" w:hAnsiTheme="minorEastAsia" w:eastAsiaTheme="minorEastAsia" w:cstheme="minorEastAsia"/>
          <w:b w:val="0"/>
          <w:bCs w:val="0"/>
          <w:color w:val="auto"/>
          <w:highlight w:val="none"/>
          <w:lang w:val="zh-CN"/>
        </w:rPr>
        <w:t>菏泽职业学院</w:t>
      </w:r>
      <w:r>
        <w:rPr>
          <w:rFonts w:hint="eastAsia" w:asciiTheme="minorEastAsia" w:hAnsiTheme="minorEastAsia" w:eastAsiaTheme="minorEastAsia" w:cstheme="minorEastAsia"/>
          <w:b w:val="0"/>
          <w:bCs w:val="0"/>
          <w:color w:val="auto"/>
          <w:highlight w:val="none"/>
        </w:rPr>
        <w:t>；</w:t>
      </w:r>
    </w:p>
    <w:p>
      <w:pPr>
        <w:pStyle w:val="72"/>
        <w:spacing w:line="360" w:lineRule="auto"/>
        <w:ind w:firstLine="48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w:t>
      </w:r>
      <w:r>
        <w:rPr>
          <w:rFonts w:hint="eastAsia" w:asciiTheme="minorEastAsia" w:hAnsiTheme="minorEastAsia" w:eastAsiaTheme="minorEastAsia" w:cstheme="minorEastAsia"/>
          <w:b w:val="0"/>
          <w:bCs w:val="0"/>
          <w:color w:val="auto"/>
          <w:highlight w:val="none"/>
          <w:lang w:eastAsia="zh-CN"/>
        </w:rPr>
        <w:t>采购代理机构</w:t>
      </w:r>
      <w:r>
        <w:rPr>
          <w:rFonts w:hint="eastAsia" w:asciiTheme="minorEastAsia" w:hAnsiTheme="minorEastAsia" w:eastAsiaTheme="minorEastAsia" w:cstheme="minorEastAsia"/>
          <w:b w:val="0"/>
          <w:bCs w:val="0"/>
          <w:color w:val="auto"/>
          <w:highlight w:val="none"/>
        </w:rPr>
        <w:t>”系指山东华标招标有限公司；</w:t>
      </w:r>
    </w:p>
    <w:p>
      <w:pPr>
        <w:pStyle w:val="72"/>
        <w:spacing w:line="360" w:lineRule="auto"/>
        <w:ind w:firstLine="48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3．“供应商”系指参与招标并向</w:t>
      </w:r>
      <w:r>
        <w:rPr>
          <w:rFonts w:hint="eastAsia" w:asciiTheme="minorEastAsia" w:hAnsiTheme="minorEastAsia" w:eastAsiaTheme="minorEastAsia" w:cstheme="minorEastAsia"/>
          <w:b w:val="0"/>
          <w:bCs w:val="0"/>
          <w:color w:val="auto"/>
          <w:highlight w:val="none"/>
          <w:lang w:eastAsia="zh-CN"/>
        </w:rPr>
        <w:t>采购代理机构</w:t>
      </w:r>
      <w:r>
        <w:rPr>
          <w:rFonts w:hint="eastAsia" w:asciiTheme="minorEastAsia" w:hAnsiTheme="minorEastAsia" w:eastAsiaTheme="minorEastAsia" w:cstheme="minorEastAsia"/>
          <w:b w:val="0"/>
          <w:bCs w:val="0"/>
          <w:color w:val="auto"/>
          <w:highlight w:val="none"/>
        </w:rPr>
        <w:t>提交响应文件的企业；</w:t>
      </w:r>
    </w:p>
    <w:p>
      <w:pPr>
        <w:pStyle w:val="72"/>
        <w:spacing w:line="360" w:lineRule="auto"/>
        <w:ind w:firstLine="48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4．“成交供应商”系指由磋商小组综合评审的对竞争性磋商文件做出实质性响应较强，综合实力最优，取得与用户签订合同资格的供应商；</w:t>
      </w:r>
    </w:p>
    <w:p>
      <w:pPr>
        <w:pStyle w:val="72"/>
        <w:spacing w:line="360" w:lineRule="auto"/>
        <w:ind w:firstLine="48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5．“用户”系指</w:t>
      </w:r>
      <w:r>
        <w:rPr>
          <w:rFonts w:hint="eastAsia" w:asciiTheme="minorEastAsia" w:hAnsiTheme="minorEastAsia" w:eastAsiaTheme="minorEastAsia" w:cstheme="minorEastAsia"/>
          <w:b w:val="0"/>
          <w:bCs w:val="0"/>
          <w:color w:val="auto"/>
          <w:highlight w:val="none"/>
          <w:lang w:val="zh-CN"/>
        </w:rPr>
        <w:t>菏泽职业学院</w:t>
      </w:r>
      <w:r>
        <w:rPr>
          <w:rFonts w:hint="eastAsia" w:asciiTheme="minorEastAsia" w:hAnsiTheme="minorEastAsia" w:eastAsiaTheme="minorEastAsia" w:cstheme="minorEastAsia"/>
          <w:b w:val="0"/>
          <w:bCs w:val="0"/>
          <w:color w:val="auto"/>
          <w:highlight w:val="none"/>
        </w:rPr>
        <w:t>。</w:t>
      </w:r>
    </w:p>
    <w:p>
      <w:pPr>
        <w:pStyle w:val="29"/>
        <w:spacing w:line="360" w:lineRule="auto"/>
        <w:rPr>
          <w:rFonts w:asciiTheme="minorEastAsia" w:hAnsiTheme="minorEastAsia" w:eastAsiaTheme="minorEastAsia" w:cstheme="minorEastAsia"/>
          <w:color w:val="auto"/>
          <w:sz w:val="30"/>
          <w:szCs w:val="30"/>
          <w:highlight w:val="none"/>
        </w:rPr>
      </w:pPr>
      <w:bookmarkStart w:id="18" w:name="_Toc332979546"/>
      <w:bookmarkStart w:id="19" w:name="_Toc8015"/>
      <w:bookmarkStart w:id="20" w:name="_Toc325620705"/>
      <w:r>
        <w:rPr>
          <w:rFonts w:hint="eastAsia" w:asciiTheme="minorEastAsia" w:hAnsiTheme="minorEastAsia" w:eastAsiaTheme="minorEastAsia" w:cstheme="minorEastAsia"/>
          <w:color w:val="auto"/>
          <w:sz w:val="30"/>
          <w:szCs w:val="30"/>
          <w:highlight w:val="none"/>
        </w:rPr>
        <w:t>三、供应商应具备的条件</w:t>
      </w:r>
      <w:bookmarkEnd w:id="18"/>
      <w:bookmarkEnd w:id="19"/>
      <w:bookmarkEnd w:id="20"/>
    </w:p>
    <w:p>
      <w:pPr>
        <w:pStyle w:val="72"/>
        <w:spacing w:line="360" w:lineRule="auto"/>
        <w:ind w:firstLine="48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1．本次招标不接受供应商以联合体形式投标；</w:t>
      </w:r>
    </w:p>
    <w:p>
      <w:pPr>
        <w:pStyle w:val="72"/>
        <w:spacing w:line="360" w:lineRule="auto"/>
        <w:ind w:firstLine="48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2．供应商必须满足竞争性磋商文件第一部分《竞争性磋商公告》中的相关要求；</w:t>
      </w:r>
    </w:p>
    <w:p>
      <w:pPr>
        <w:pStyle w:val="72"/>
        <w:spacing w:line="360" w:lineRule="auto"/>
        <w:ind w:firstLine="48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3．供应商必须按照规定，向</w:t>
      </w:r>
      <w:r>
        <w:rPr>
          <w:rFonts w:hint="eastAsia" w:asciiTheme="minorEastAsia" w:hAnsiTheme="minorEastAsia" w:eastAsiaTheme="minorEastAsia" w:cstheme="minorEastAsia"/>
          <w:b w:val="0"/>
          <w:bCs w:val="0"/>
          <w:color w:val="auto"/>
          <w:highlight w:val="none"/>
          <w:lang w:eastAsia="zh-CN"/>
        </w:rPr>
        <w:t>采购代理机构</w:t>
      </w:r>
      <w:r>
        <w:rPr>
          <w:rFonts w:hint="eastAsia" w:asciiTheme="minorEastAsia" w:hAnsiTheme="minorEastAsia" w:eastAsiaTheme="minorEastAsia" w:cstheme="minorEastAsia"/>
          <w:b w:val="0"/>
          <w:bCs w:val="0"/>
          <w:color w:val="auto"/>
          <w:highlight w:val="none"/>
        </w:rPr>
        <w:t>领取竞争性磋商文件；</w:t>
      </w:r>
    </w:p>
    <w:p>
      <w:pPr>
        <w:pStyle w:val="72"/>
        <w:spacing w:line="360" w:lineRule="auto"/>
        <w:ind w:firstLine="48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4．供应商必须遵守国家、山东省有关的法律、法规和政策；</w:t>
      </w:r>
    </w:p>
    <w:p>
      <w:pPr>
        <w:pStyle w:val="72"/>
        <w:spacing w:line="360" w:lineRule="auto"/>
        <w:ind w:firstLine="48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5．参加政府采购活动前3年内在经营活动中没有重大违法记录；</w:t>
      </w:r>
    </w:p>
    <w:p>
      <w:pPr>
        <w:pStyle w:val="72"/>
        <w:spacing w:line="360" w:lineRule="auto"/>
        <w:ind w:firstLine="48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6．供应商不是由《中华人民共和国招标投标法》、《中华人民共和国政府采购法》及其他行政法规、规章限制投标的单位；</w:t>
      </w:r>
    </w:p>
    <w:p>
      <w:pPr>
        <w:pStyle w:val="72"/>
        <w:spacing w:line="360" w:lineRule="auto"/>
        <w:ind w:firstLine="48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7．提供的资格、资质证明文件完整并真实有效；</w:t>
      </w:r>
    </w:p>
    <w:p>
      <w:pPr>
        <w:pStyle w:val="72"/>
        <w:spacing w:line="360" w:lineRule="auto"/>
        <w:ind w:firstLine="48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8．竞争性磋商文件的其它规定和要求；</w:t>
      </w:r>
    </w:p>
    <w:p>
      <w:pPr>
        <w:pStyle w:val="72"/>
        <w:spacing w:line="360" w:lineRule="auto"/>
        <w:ind w:firstLine="480"/>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9．法律、行政法规规定的其他条件。</w:t>
      </w:r>
    </w:p>
    <w:p>
      <w:pPr>
        <w:widowControl/>
        <w:jc w:val="left"/>
        <w:rPr>
          <w:rFonts w:hAnsi="宋体"/>
          <w:b/>
          <w:color w:val="auto"/>
          <w:kern w:val="0"/>
          <w:sz w:val="24"/>
          <w:szCs w:val="24"/>
          <w:highlight w:val="none"/>
          <w:lang w:bidi="ar"/>
        </w:rPr>
      </w:pPr>
      <w:bookmarkStart w:id="21" w:name="_Toc325620706"/>
      <w:bookmarkStart w:id="22" w:name="_Toc26614"/>
      <w:bookmarkStart w:id="23" w:name="_Toc332979547"/>
      <w:r>
        <w:rPr>
          <w:rFonts w:hint="eastAsia" w:asciiTheme="minorEastAsia" w:hAnsiTheme="minorEastAsia" w:eastAsiaTheme="minorEastAsia" w:cstheme="minorEastAsia"/>
          <w:color w:val="auto"/>
          <w:sz w:val="30"/>
          <w:szCs w:val="30"/>
          <w:highlight w:val="none"/>
        </w:rPr>
        <w:t>四、</w:t>
      </w:r>
      <w:r>
        <w:rPr>
          <w:rFonts w:hint="eastAsia" w:hAnsi="宋体"/>
          <w:b/>
          <w:color w:val="auto"/>
          <w:kern w:val="0"/>
          <w:sz w:val="24"/>
          <w:szCs w:val="24"/>
          <w:highlight w:val="none"/>
          <w:lang w:bidi="ar"/>
        </w:rPr>
        <w:t xml:space="preserve"> </w:t>
      </w:r>
      <w:r>
        <w:rPr>
          <w:rFonts w:hint="eastAsia" w:asciiTheme="minorEastAsia" w:hAnsiTheme="minorEastAsia" w:eastAsiaTheme="minorEastAsia" w:cstheme="minorEastAsia"/>
          <w:b/>
          <w:bCs/>
          <w:color w:val="auto"/>
          <w:sz w:val="30"/>
          <w:szCs w:val="30"/>
          <w:highlight w:val="none"/>
        </w:rPr>
        <w:t>竞争性磋商文件</w:t>
      </w:r>
    </w:p>
    <w:p>
      <w:pPr>
        <w:pStyle w:val="29"/>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（一）竞争性磋商文件构成 </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本竞争性磋商文件共分六部分，内容如下： </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第一部分 竞争性磋商公告 </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第二部分 供应商须知 </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第三部分 开标、评审、定标 </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第四部分 合同格式 </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第五部分 项目说明及要求</w:t>
      </w:r>
    </w:p>
    <w:p>
      <w:pPr>
        <w:spacing w:line="360" w:lineRule="auto"/>
        <w:ind w:firstLine="480" w:firstLineChars="200"/>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24"/>
          <w:szCs w:val="24"/>
          <w:highlight w:val="none"/>
        </w:rPr>
        <w:t xml:space="preserve">第六部分 附件 </w:t>
      </w:r>
    </w:p>
    <w:p>
      <w:pPr>
        <w:pStyle w:val="29"/>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（二）竞争性磋商文件的澄清或修改</w:t>
      </w:r>
      <w:bookmarkEnd w:id="21"/>
      <w:bookmarkEnd w:id="22"/>
      <w:bookmarkEnd w:id="23"/>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1．供应商对竞争性磋商文件如有疑问，应于竞争性磋商文件要求提交响应文件截止时间5日前以书面形式（加盖供应商单位公章，否则不予答复）通知到</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，同时提供WORD格式电子版发往：huabiaoheze@126.com。</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将视情况在提交响应文件截止时间5日前以书面形式予以答复，并将答复内容包括原提出的问题（但不标明问题的来源），分发给所有取得同一竞争性磋商文件的潜在供应商。潜在供应商须在收到代理机构的书面答复后24小时内书面签章回执，以确认收到。</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2．采购人或者</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可以对已发出的竞争性磋商文件、资格预审文件、投标邀请书进行必要的澄清或者修改，但不得改变采购标的和资格条件。澄清或者修改应当在原公告发布媒体上发布澄清公告。澄清或者修改的内容为竞争性磋商文件、资格预审文件、投标邀请书的组成部分。澄清或者修改的内容可能影响响应文件编制的，采购人或者</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应当在投标截止时间至少5日前，</w:t>
      </w:r>
      <w:r>
        <w:rPr>
          <w:rFonts w:hint="eastAsia" w:ascii="宋体" w:hAnsi="宋体" w:cs="宋体"/>
          <w:sz w:val="24"/>
        </w:rPr>
        <w:t>在《中国山东政府采购网》及有关网站发布。</w:t>
      </w:r>
      <w:r>
        <w:rPr>
          <w:rFonts w:hint="eastAsia" w:hAnsi="宋体" w:cs="宋体"/>
          <w:sz w:val="24"/>
          <w:lang w:eastAsia="zh-CN"/>
        </w:rPr>
        <w:t>供应商</w:t>
      </w:r>
      <w:r>
        <w:rPr>
          <w:rFonts w:hint="eastAsia" w:ascii="宋体" w:hAnsi="宋体" w:cs="宋体"/>
          <w:sz w:val="24"/>
        </w:rPr>
        <w:t>自行查阅网站信息，或于开标前向</w:t>
      </w:r>
      <w:r>
        <w:rPr>
          <w:rFonts w:hint="eastAsia" w:hAnsi="宋体" w:cs="宋体"/>
          <w:sz w:val="24"/>
          <w:lang w:eastAsia="zh-CN"/>
        </w:rPr>
        <w:t>采购代理机构</w:t>
      </w:r>
      <w:r>
        <w:rPr>
          <w:rFonts w:hint="eastAsia" w:ascii="宋体" w:hAnsi="宋体" w:cs="宋体"/>
          <w:sz w:val="24"/>
        </w:rPr>
        <w:t>电话询问确认，未按要求查阅者自行承担相应后果，恕不予单独告知</w:t>
      </w:r>
      <w:r>
        <w:rPr>
          <w:rFonts w:hint="eastAsia" w:asciiTheme="minorEastAsia" w:hAnsiTheme="minorEastAsia" w:eastAsiaTheme="minorEastAsia" w:cstheme="minorEastAsia"/>
          <w:color w:val="auto"/>
          <w:sz w:val="24"/>
          <w:szCs w:val="24"/>
          <w:highlight w:val="none"/>
        </w:rPr>
        <w:t>；不足5日的，采购人或者</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应当顺延提交响应文件的截止时间。</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3．供应商须在收到代理机构的澄清、修改或变更通知后24小时内书面签章回执，并通知</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，以确认收到。</w:t>
      </w:r>
    </w:p>
    <w:p>
      <w:pPr>
        <w:pStyle w:val="29"/>
        <w:spacing w:line="360" w:lineRule="auto"/>
        <w:rPr>
          <w:rFonts w:asciiTheme="minorEastAsia" w:hAnsiTheme="minorEastAsia" w:eastAsiaTheme="minorEastAsia" w:cstheme="minorEastAsia"/>
          <w:color w:val="auto"/>
          <w:sz w:val="30"/>
          <w:szCs w:val="30"/>
          <w:highlight w:val="none"/>
        </w:rPr>
      </w:pPr>
      <w:bookmarkStart w:id="24" w:name="_Toc332979548"/>
      <w:bookmarkStart w:id="25" w:name="_Toc6125"/>
      <w:bookmarkStart w:id="26" w:name="_Toc325620707"/>
      <w:r>
        <w:rPr>
          <w:rFonts w:hint="eastAsia" w:asciiTheme="minorEastAsia" w:hAnsiTheme="minorEastAsia" w:eastAsiaTheme="minorEastAsia" w:cstheme="minorEastAsia"/>
          <w:color w:val="auto"/>
          <w:sz w:val="30"/>
          <w:szCs w:val="30"/>
          <w:highlight w:val="none"/>
        </w:rPr>
        <w:t>五、响应文件的编写</w:t>
      </w:r>
      <w:bookmarkEnd w:id="24"/>
      <w:bookmarkEnd w:id="25"/>
      <w:bookmarkEnd w:id="26"/>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供应商应按竞争性磋商文件的要求准备响应文件，并保证所提供的全部资料的真实性、准确性及完整性，以使其投标对竞争性磋商文件做出实质性呼应。</w:t>
      </w:r>
    </w:p>
    <w:p>
      <w:pPr>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1.响应文件的语言及计量单位</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供应商和</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就本项目交换的文件和来往信函使用中文。除竞争性磋商文件的技术规格中另有规定外，响应文件中所使用的计量单位应使用中华人民共和国法定计量单位。</w:t>
      </w:r>
    </w:p>
    <w:p>
      <w:pPr>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2.响应文件的编写及装订</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电子标书：共计2份，其中加密文件1份，在赢标平台菏泽专区http://hz.fzbidding.com/上传；不加密文件1份，以U盘形式在开标当天密封递交。</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中标单位在签订合同前还需提供胶装的纸质版</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一正</w:t>
      </w: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副(内容须同递交的电子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保持一致，否则，由此引起的后果自行承担)，并按</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要求签字、盖章。</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响应文件中资料排版必须按照竞争性磋商文件要求顺序排列，并连续标记页码（彩页等插入资料除外）。</w:t>
      </w:r>
    </w:p>
    <w:p>
      <w:pPr>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3.响应文件的组成</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3.1响应文件封面</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3.2响应文件目录</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3.3法定代表人或授权代理人签署的投标函（附件）</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3.4资格、资质证明文件</w:t>
      </w:r>
    </w:p>
    <w:p>
      <w:pPr>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3.5报价部分</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3.5.1</w:t>
      </w:r>
      <w:r>
        <w:rPr>
          <w:rFonts w:hint="eastAsia" w:asciiTheme="minorEastAsia" w:hAnsiTheme="minorEastAsia" w:eastAsiaTheme="minorEastAsia" w:cstheme="minorEastAsia"/>
          <w:color w:val="auto"/>
          <w:sz w:val="24"/>
          <w:szCs w:val="24"/>
          <w:highlight w:val="none"/>
          <w:lang w:eastAsia="zh-CN"/>
        </w:rPr>
        <w:t>开标一览表</w:t>
      </w:r>
      <w:r>
        <w:rPr>
          <w:rFonts w:hint="eastAsia" w:asciiTheme="minorEastAsia" w:hAnsiTheme="minorEastAsia" w:eastAsiaTheme="minorEastAsia" w:cstheme="minorEastAsia"/>
          <w:color w:val="auto"/>
          <w:sz w:val="24"/>
          <w:szCs w:val="24"/>
          <w:highlight w:val="none"/>
        </w:rPr>
        <w:t>（附件）；</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3.5.2报价明细表（附件）；</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3.5.3供应商认为需说明的其他内容。</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3.5.4报价范围：报价应包含：货物、包装、运输、安装、调试、培训、验收、保险、税费、运杂、因国家政策调整等不可抗力引起的相关税费等本项目执行过程可能发生的一切费用，并包括各项费用和价格的涨价风险，以及合同明示或暗示的所有责任、义务和不可抗力以外的一切风险。</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3.5.5本次采购不接受选择性报价和附有条件的报价。 </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3.5.6供应商应按响应文件中报价部分（统一格式）的内容填写报价，并由法定代表人或授权代表签署。</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3.5.7供应商的成交价格在合同执行中是固定不变的，不得以任何理由予以变更。任何包含价格调整要求的将会被拒绝。 </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3.5.8报价币种及报价形式详见供应商须知附表。</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3.5.9通过资格性审查和符合性审查的供应商有再次报价的机会，但每一次报价均应以书面形式确认。最终报价的单价根据总价同比例下浮。</w:t>
      </w:r>
    </w:p>
    <w:p>
      <w:pPr>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3.6技术部分</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3.6.1 证明货物的合格性符合竞争性磋商文件规定的技术资料；</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3.6.1.1 货物主要技术指标和性能的详细说明，包括产品规格（型号）、详细配置、主要技术参数说明、制造商（产地）等；</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3.6.1.2 供应商可提交证明其拟提供货物的合格性符合竞争性磋商文件规定的有效技术（印刷体）支持资料包括宣传彩页等。技术支持资料以制造商公开发布的印刷资料或者检测机构出具的检测报告为准。若制造商公开发布的印刷资料与检测机构出具的检测报告不一致，以检测机构出具的检测报告为准。</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3.6.1.3 供应商在详细阐述货物的主要技术指标和性能说明时，应注意竞争性磋商文件招标要求中指出的工艺、材料和货物标准以及参照的品牌或文字叙述仅起说明作用，并无任何限制性，供应商可选用替代标准、品牌或文字叙述，但这些替代要实质上满足技术规格及参数要求。</w:t>
      </w:r>
    </w:p>
    <w:p>
      <w:pPr>
        <w:widowControl/>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3.6.1.4 供应商必须对所提供货物知识产权方面的一切产权关系负全部责任，由此而引起的法律纠纷及费用，供应商须全部承担</w:t>
      </w:r>
      <w:r>
        <w:rPr>
          <w:rFonts w:hint="eastAsia" w:asciiTheme="minorEastAsia" w:hAnsiTheme="minorEastAsia" w:eastAsiaTheme="minorEastAsia" w:cstheme="minorEastAsia"/>
          <w:color w:val="auto"/>
          <w:sz w:val="24"/>
          <w:szCs w:val="24"/>
          <w:highlight w:val="none"/>
          <w:lang w:eastAsia="zh-CN"/>
        </w:rPr>
        <w:t>。</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3.6.2 投标偏离表（附件）；</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3.6.2.1 为合理节约采购评审成本，提倡诚实信用的投标行为，特别要求供应商应本着诚信精神，在本次响应文件的“投标偏离表”中，均以审慎的态度明确、清楚地披露各项响应情况。供应商须对照竞争性磋商文件技术规格、参数与要求，逐条说明投标货物与服务是否做出了实质性响应，</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3.6.2.2 响应程度分为“无偏离”、“正偏离”、“负偏离”。</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3.6.2.3 “正偏离”是指投标产品或方案的技术及功能相比竞争性磋商文件的要求技术更先进、档次更高、更适合采购人使用。标注“正偏离”的，供应商必须注明认为“正偏离”的理由。</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3.6.2.4 “负偏离”是指投标产品或方案的技术及功能相比竞争性磋商文件的要求存在瑕疵和不足。</w:t>
      </w:r>
    </w:p>
    <w:p>
      <w:pPr>
        <w:widowControl/>
        <w:ind w:firstLine="480" w:firstLineChars="200"/>
        <w:rPr>
          <w:color w:val="auto"/>
          <w:sz w:val="24"/>
          <w:szCs w:val="24"/>
          <w:highlight w:val="none"/>
        </w:rPr>
      </w:pPr>
      <w:r>
        <w:rPr>
          <w:rFonts w:hint="eastAsia" w:asciiTheme="minorEastAsia" w:hAnsiTheme="minorEastAsia" w:eastAsiaTheme="minorEastAsia" w:cstheme="minorEastAsia"/>
          <w:color w:val="auto"/>
          <w:sz w:val="24"/>
          <w:szCs w:val="24"/>
          <w:highlight w:val="none"/>
        </w:rPr>
        <w:t>3.6.3</w:t>
      </w:r>
      <w:r>
        <w:rPr>
          <w:rFonts w:hint="eastAsia"/>
          <w:color w:val="auto"/>
          <w:sz w:val="24"/>
          <w:szCs w:val="24"/>
          <w:highlight w:val="none"/>
        </w:rPr>
        <w:t>技术保证措施、项目实施方案等</w:t>
      </w:r>
      <w:r>
        <w:rPr>
          <w:rFonts w:hint="eastAsia" w:ascii="新宋体" w:hAnsi="新宋体" w:eastAsia="新宋体"/>
          <w:color w:val="auto"/>
          <w:sz w:val="24"/>
          <w:highlight w:val="none"/>
        </w:rPr>
        <w:t>；</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3.6.4供应商认为需要加以说明的其他内容。</w:t>
      </w:r>
    </w:p>
    <w:p>
      <w:pPr>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3.7商务部分</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3.7.1为使货物正常、连续地使用，应提供采购人使用该货物所需的完整的备件和专用工具清单，包括备件和专用工具的货源及价格；</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3.7.2售后服务条款：</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3.7.2.1 对货物负责配送；</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3.7.2.2 提供及时、迅速、优质服务的承诺；</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3.7.2.3 提供成交货物齐全的资料；</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3.7.2.4 供应商对提供的所有货物，明确质量保证期。质量保证期内，除人为因素损坏外，全部免费更换；</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3.7.2.5质量保证期及质量保证期以后的维护内容及服务方式、范围和收费等情况。</w:t>
      </w:r>
    </w:p>
    <w:p>
      <w:pPr>
        <w:spacing w:line="360" w:lineRule="auto"/>
        <w:ind w:firstLine="480" w:firstLineChars="200"/>
        <w:rPr>
          <w:color w:val="auto"/>
          <w:highlight w:val="none"/>
        </w:rPr>
      </w:pPr>
      <w:r>
        <w:rPr>
          <w:rFonts w:hint="eastAsia" w:asciiTheme="minorEastAsia" w:hAnsiTheme="minorEastAsia" w:eastAsiaTheme="minorEastAsia" w:cstheme="minorEastAsia"/>
          <w:color w:val="auto"/>
          <w:sz w:val="24"/>
          <w:szCs w:val="24"/>
          <w:highlight w:val="none"/>
        </w:rPr>
        <w:t>3.7.2.6售后服务保障体系等。</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3.8用于评审的其他证明材料：(如有)</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3.9.1 节能、环保产品证明材料；</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3.9.2小型、微型企业产品、监狱企业、残疾人福利性单位、戒毒管理局（含新疆生产建设兵团）价格需扣除的，须提供：</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3.9.2.1 《中小企业声明函》</w:t>
      </w:r>
      <w:r>
        <w:rPr>
          <w:rFonts w:hint="eastAsia" w:asciiTheme="minorEastAsia" w:hAnsiTheme="minorEastAsia" w:eastAsiaTheme="minorEastAsia" w:cstheme="minorEastAsia"/>
          <w:color w:val="auto"/>
          <w:sz w:val="24"/>
          <w:szCs w:val="24"/>
          <w:highlight w:val="none"/>
          <w:lang w:eastAsia="zh-CN"/>
        </w:rPr>
        <w:t>、小型、微型企业产品明细表</w:t>
      </w:r>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3.9.2.2 如供应商为监狱企业，须提供省级以上监狱管理局、戒毒管理局(含新疆生产建设兵团)出具的属于监狱企业的证明文件复印件。</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3.9.2.3《残疾人福利性单位声明函》；</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3.10供应商认为需加以说明的其他内容。</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3.11投标要求</w:t>
      </w:r>
    </w:p>
    <w:p>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3.11.1</w:t>
      </w:r>
      <w:r>
        <w:rPr>
          <w:rFonts w:hint="eastAsia" w:hAnsi="宋体"/>
          <w:color w:val="auto"/>
          <w:kern w:val="0"/>
          <w:sz w:val="24"/>
          <w:szCs w:val="24"/>
          <w:highlight w:val="none"/>
          <w:lang w:bidi="ar"/>
        </w:rPr>
        <w:t>本项目采用</w:t>
      </w:r>
      <w:r>
        <w:rPr>
          <w:rFonts w:hint="eastAsia" w:hAnsi="宋体" w:cs="仿宋_GB2312"/>
          <w:color w:val="auto"/>
          <w:kern w:val="0"/>
          <w:sz w:val="24"/>
          <w:highlight w:val="none"/>
        </w:rPr>
        <w:t>共计2次（含公开的基础报价）报价，第二次报价为最终报价，</w:t>
      </w:r>
      <w:r>
        <w:rPr>
          <w:rFonts w:hint="eastAsia" w:hAnsi="宋体"/>
          <w:color w:val="auto"/>
          <w:sz w:val="24"/>
          <w:highlight w:val="none"/>
        </w:rPr>
        <w:t>且后一轮报价不得高于前一轮报价，若后一轮报价高于前一轮报价则视上一轮报价为有效报价</w:t>
      </w:r>
      <w:r>
        <w:rPr>
          <w:rFonts w:hint="eastAsia" w:asciiTheme="minorEastAsia" w:hAnsiTheme="minorEastAsia" w:eastAsiaTheme="minorEastAsia" w:cstheme="minorEastAsia"/>
          <w:color w:val="auto"/>
          <w:sz w:val="24"/>
          <w:szCs w:val="24"/>
          <w:highlight w:val="none"/>
        </w:rPr>
        <w:t>；</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3.11.2供应商的响应文件中所报货物数量、供货范围和技术标准必须符合竞争性磋商文件要求；</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3.11.3供应商在投标时只允许提供一个方案；</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响应文件正本与开标一览表不一致的，以开标一览表为准；二份单独密封的开标一览表不一致的，按无效投标处理。大写金额和小写金额不一致的，以大写金额为准；对不同文字文本响应文件的解释发生异议的，以中文文本为准。</w:t>
      </w:r>
    </w:p>
    <w:p>
      <w:pPr>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4.响应文件的密封和标记</w:t>
      </w:r>
    </w:p>
    <w:p>
      <w:pPr>
        <w:pStyle w:val="31"/>
        <w:rPr>
          <w:rFonts w:hint="eastAsia"/>
        </w:rPr>
      </w:pPr>
      <w:r>
        <w:rPr>
          <w:rFonts w:hint="eastAsia" w:asciiTheme="minorEastAsia" w:hAnsiTheme="minorEastAsia" w:eastAsiaTheme="minorEastAsia" w:cstheme="minorEastAsia"/>
          <w:color w:val="auto"/>
          <w:sz w:val="24"/>
          <w:szCs w:val="24"/>
          <w:highlight w:val="none"/>
        </w:rPr>
        <w:t>4.</w:t>
      </w:r>
      <w:r>
        <w:rPr>
          <w:rFonts w:hint="eastAsia"/>
          <w:lang w:val="en-US" w:eastAsia="zh-CN"/>
        </w:rPr>
        <w:t>1.1</w:t>
      </w:r>
      <w:r>
        <w:rPr>
          <w:rFonts w:hint="eastAsia"/>
        </w:rPr>
        <w:t>电子</w:t>
      </w:r>
      <w:r>
        <w:rPr>
          <w:rFonts w:hint="eastAsia"/>
          <w:lang w:eastAsia="zh-CN"/>
        </w:rPr>
        <w:t>响应文件</w:t>
      </w:r>
      <w:r>
        <w:rPr>
          <w:rFonts w:hint="eastAsia"/>
        </w:rPr>
        <w:t>：2 份，其中加密文件1 份，在赢标电子招标采购交易平台(菏泽专区)上传； 另提交电子版</w:t>
      </w:r>
      <w:r>
        <w:rPr>
          <w:rFonts w:hint="eastAsia"/>
          <w:lang w:eastAsia="zh-CN"/>
        </w:rPr>
        <w:t>响应文件</w:t>
      </w:r>
      <w:r>
        <w:rPr>
          <w:rFonts w:hint="eastAsia"/>
        </w:rPr>
        <w:t>一份（U 盘），内容为电子签章后的 PDF 格式</w:t>
      </w:r>
      <w:r>
        <w:rPr>
          <w:rFonts w:hint="eastAsia"/>
          <w:lang w:eastAsia="zh-CN"/>
        </w:rPr>
        <w:t>响应文件</w:t>
      </w:r>
      <w:r>
        <w:rPr>
          <w:rFonts w:hint="eastAsia"/>
        </w:rPr>
        <w:t>。</w:t>
      </w:r>
    </w:p>
    <w:p>
      <w:pPr>
        <w:pStyle w:val="31"/>
        <w:rPr>
          <w:rFonts w:hint="eastAsia"/>
        </w:rPr>
      </w:pPr>
      <w:r>
        <w:rPr>
          <w:rFonts w:hint="eastAsia"/>
          <w:lang w:val="en-US" w:eastAsia="zh-CN"/>
        </w:rPr>
        <w:t>4.1.2</w:t>
      </w:r>
      <w:r>
        <w:rPr>
          <w:rFonts w:hint="eastAsia"/>
        </w:rPr>
        <w:t>电子版</w:t>
      </w:r>
      <w:r>
        <w:rPr>
          <w:rFonts w:hint="eastAsia"/>
          <w:lang w:eastAsia="zh-CN"/>
        </w:rPr>
        <w:t>响应文件</w:t>
      </w:r>
      <w:r>
        <w:rPr>
          <w:rFonts w:hint="eastAsia"/>
        </w:rPr>
        <w:t>需进行电子加密，电子加密的方法可参考本文件电子招投标须知中所提及的方式进行加密，未加密的</w:t>
      </w:r>
      <w:r>
        <w:rPr>
          <w:rFonts w:hint="eastAsia"/>
          <w:lang w:eastAsia="zh-CN"/>
        </w:rPr>
        <w:t>响应文件</w:t>
      </w:r>
      <w:r>
        <w:rPr>
          <w:rFonts w:hint="eastAsia"/>
        </w:rPr>
        <w:t>无法通过赢标电子招标采购交易平台(菏泽专区)http://hz.fzbidding.com进行上传，视为主动放弃本次投标资格。</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4.2.1项目编号、项目名称；</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4.2.2供应商名称（加盖公章）、地址、电话。</w:t>
      </w:r>
    </w:p>
    <w:p>
      <w:pPr>
        <w:spacing w:line="360" w:lineRule="auto"/>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4.3供应商必须另外单独密封一式二份“开标一览表”</w:t>
      </w:r>
      <w:r>
        <w:rPr>
          <w:rFonts w:hint="eastAsia" w:asciiTheme="minorEastAsia" w:hAnsiTheme="minorEastAsia" w:eastAsiaTheme="minorEastAsia" w:cstheme="minorEastAsia"/>
          <w:color w:val="auto"/>
          <w:sz w:val="24"/>
          <w:szCs w:val="24"/>
          <w:highlight w:val="none"/>
        </w:rPr>
        <w:t>，现场与响应文件同时提交。在封面加盖单位公章并注明开标一览表、项目名称、项目编号、供应商名称（加盖公章）、地址、电话。</w:t>
      </w:r>
    </w:p>
    <w:p>
      <w:pPr>
        <w:spacing w:line="360" w:lineRule="auto"/>
        <w:ind w:firstLine="482"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4.4供应商必须另外单独密封一份</w:t>
      </w:r>
      <w:r>
        <w:rPr>
          <w:rFonts w:hint="eastAsia" w:asciiTheme="minorEastAsia" w:hAnsiTheme="minorEastAsia" w:eastAsiaTheme="minorEastAsia" w:cstheme="minorEastAsia"/>
          <w:color w:val="auto"/>
          <w:sz w:val="24"/>
          <w:szCs w:val="24"/>
          <w:highlight w:val="none"/>
        </w:rPr>
        <w:t>完整的电子版响应文件</w:t>
      </w:r>
      <w:r>
        <w:rPr>
          <w:rFonts w:hint="eastAsia" w:asciiTheme="minorEastAsia" w:hAnsiTheme="minorEastAsia" w:eastAsiaTheme="minorEastAsia" w:cstheme="minorEastAsia"/>
          <w:color w:val="auto"/>
          <w:sz w:val="24"/>
          <w:highlight w:val="none"/>
          <w:lang w:val="zh-CN"/>
        </w:rPr>
        <w:t>（以U盘为介质提供word或pdf文件，并在U盘外侧注明公司名称）</w:t>
      </w:r>
      <w:r>
        <w:rPr>
          <w:rFonts w:hint="eastAsia" w:asciiTheme="minorEastAsia" w:hAnsiTheme="minorEastAsia" w:eastAsiaTheme="minorEastAsia" w:cstheme="minorEastAsia"/>
          <w:color w:val="auto"/>
          <w:sz w:val="24"/>
          <w:szCs w:val="24"/>
          <w:highlight w:val="none"/>
        </w:rPr>
        <w:t>，在封面加盖单位公章并注明电子文档、项目名称、项目编号、供应商名称（加盖公章）、地址、电话。</w:t>
      </w:r>
    </w:p>
    <w:p>
      <w:pPr>
        <w:spacing w:line="360" w:lineRule="auto"/>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4.5供应商必须另外单独提供一套“资格、资质证明原件”</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highlight w:val="none"/>
          <w:lang w:val="zh-CN"/>
        </w:rPr>
        <w:t>包含资质原件、有关评审的证明文件原件等（可不密封），与响应文件一并提交。</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4.6每一密封件在封口处加盖供应商单位公章并注明“于    年  月  日   时 之前不准启封”字样。</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5.响应文件的递交</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5.1供应商授权代表必须在投标截止时间前将响应文件</w:t>
      </w:r>
      <w:r>
        <w:rPr>
          <w:rFonts w:hint="eastAsia" w:asciiTheme="minorEastAsia" w:hAnsiTheme="minorEastAsia" w:eastAsiaTheme="minorEastAsia" w:cstheme="minorEastAsia"/>
          <w:color w:val="auto"/>
          <w:sz w:val="24"/>
          <w:szCs w:val="24"/>
          <w:highlight w:val="none"/>
          <w:lang w:eastAsia="zh-CN"/>
        </w:rPr>
        <w:t>（上传</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送达</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指定地点。如因特殊原因需推迟投标截止日期的，则按</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另行通知规定的时间递交；</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5.2在截止时间后递交的响应文件及未按竞争性磋商文件要求密封及标记的响应文件概不接收；</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5.3电报、电话、传真、电子邮件等方式的响应文件概不接收；</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5.4对供应商的响应文件等材料不予退还。</w:t>
      </w:r>
    </w:p>
    <w:p>
      <w:pPr>
        <w:pStyle w:val="29"/>
        <w:spacing w:line="360" w:lineRule="auto"/>
        <w:rPr>
          <w:rFonts w:asciiTheme="minorEastAsia" w:hAnsiTheme="minorEastAsia" w:eastAsiaTheme="minorEastAsia" w:cstheme="minorEastAsia"/>
          <w:color w:val="auto"/>
          <w:sz w:val="24"/>
          <w:szCs w:val="24"/>
          <w:highlight w:val="none"/>
        </w:rPr>
      </w:pPr>
      <w:bookmarkStart w:id="27" w:name="_Toc325620708"/>
      <w:bookmarkStart w:id="28" w:name="_Toc2737"/>
      <w:bookmarkStart w:id="29" w:name="_Toc332979549"/>
      <w:r>
        <w:rPr>
          <w:rFonts w:hint="eastAsia" w:asciiTheme="minorEastAsia" w:hAnsiTheme="minorEastAsia" w:eastAsiaTheme="minorEastAsia" w:cstheme="minorEastAsia"/>
          <w:color w:val="auto"/>
          <w:sz w:val="30"/>
          <w:szCs w:val="30"/>
          <w:highlight w:val="none"/>
        </w:rPr>
        <w:t>六、响应文件签署、响应文件有效期</w:t>
      </w:r>
      <w:bookmarkEnd w:id="27"/>
      <w:bookmarkEnd w:id="28"/>
      <w:bookmarkEnd w:id="29"/>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按竞争性磋商文件要求在所递交的响应文件上加盖投标单位公章（不得使用其他形式如带有“专用章”等字样的印章）并经法定代表人或其授权代理人签字，由授权代理人签字的响应文件中须附授权委托书。授权代理人必须按竞争性磋商文件的规定签署响应文件。</w:t>
      </w:r>
      <w:r>
        <w:rPr>
          <w:rFonts w:hint="eastAsia" w:asciiTheme="minorEastAsia" w:hAnsiTheme="minorEastAsia" w:eastAsiaTheme="minorEastAsia" w:cstheme="minorEastAsia"/>
          <w:b/>
          <w:bCs/>
          <w:color w:val="auto"/>
          <w:sz w:val="24"/>
          <w:szCs w:val="24"/>
          <w:highlight w:val="none"/>
        </w:rPr>
        <w:t>不按竞争性磋商文件格式要求签字或盖章的响应文件作无效标处理。</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有效期应符合竞争性磋商文件第二部分“供应商须知附表”规定的期限。投标有效期内，供应商不得撤回响应文件。投标函的有效期比本须知规定的有效期短的，将被视为非响应性投标，采购人有权拒绝。</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3．特殊情况下，在投标有效期满之前，</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可以以书面形式要求供应商同意延长投标有效期。供应商可以书面形式拒绝或接受上述要求。</w:t>
      </w:r>
    </w:p>
    <w:p>
      <w:pPr>
        <w:pStyle w:val="29"/>
        <w:spacing w:line="360" w:lineRule="auto"/>
        <w:rPr>
          <w:rFonts w:asciiTheme="minorEastAsia" w:hAnsiTheme="minorEastAsia" w:eastAsiaTheme="minorEastAsia" w:cstheme="minorEastAsia"/>
          <w:color w:val="auto"/>
          <w:sz w:val="30"/>
          <w:szCs w:val="30"/>
          <w:highlight w:val="none"/>
        </w:rPr>
      </w:pPr>
      <w:bookmarkStart w:id="30" w:name="_Toc325620709"/>
      <w:bookmarkStart w:id="31" w:name="_Toc2334"/>
      <w:bookmarkStart w:id="32" w:name="_Toc332979550"/>
      <w:r>
        <w:rPr>
          <w:rFonts w:hint="eastAsia" w:asciiTheme="minorEastAsia" w:hAnsiTheme="minorEastAsia" w:eastAsiaTheme="minorEastAsia" w:cstheme="minorEastAsia"/>
          <w:color w:val="auto"/>
          <w:sz w:val="30"/>
          <w:szCs w:val="30"/>
          <w:highlight w:val="none"/>
        </w:rPr>
        <w:t>七、投标费用</w:t>
      </w:r>
      <w:bookmarkEnd w:id="30"/>
      <w:bookmarkEnd w:id="31"/>
      <w:bookmarkEnd w:id="32"/>
    </w:p>
    <w:p>
      <w:pPr>
        <w:spacing w:line="360" w:lineRule="auto"/>
        <w:ind w:firstLine="480" w:firstLineChars="200"/>
        <w:rPr>
          <w:rFonts w:asciiTheme="minorEastAsia" w:hAnsiTheme="minorEastAsia" w:eastAsiaTheme="minorEastAsia" w:cstheme="minorEastAsia"/>
          <w:color w:val="auto"/>
          <w:sz w:val="24"/>
          <w:highlight w:val="none"/>
        </w:rPr>
      </w:pPr>
      <w:bookmarkStart w:id="33" w:name="_Toc325620710"/>
      <w:bookmarkStart w:id="34" w:name="_Toc332979551"/>
      <w:r>
        <w:rPr>
          <w:rFonts w:hint="eastAsia" w:asciiTheme="minorEastAsia" w:hAnsiTheme="minorEastAsia" w:eastAsiaTheme="minorEastAsia" w:cstheme="minorEastAsia"/>
          <w:color w:val="auto"/>
          <w:sz w:val="24"/>
          <w:highlight w:val="none"/>
        </w:rPr>
        <w:t>1．根据“国家发展改革委员会办公厅《关于招标代理服务收费有关问题的通知》（发改办价格【2003】857号）”规定，采购人授权</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向成交供应商收取成交服务费。</w:t>
      </w:r>
    </w:p>
    <w:p>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2.根据国家计委计价格【2002】1980号文件的标准。</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rPr>
        <w:t>电子平台使用费由中标人支付，以中标价为基数，按比例分段进计费(中标人在领取中标通知书前向菏泽市公共资源（国有产权）交易中心缴纳）。</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5639"/>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0" w:type="dxa"/>
            <w:vMerge w:val="restart"/>
            <w:noWrap w:val="0"/>
            <w:vAlign w:val="center"/>
          </w:tcPr>
          <w:p>
            <w:pPr>
              <w:spacing w:line="360" w:lineRule="auto"/>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电子平台使用费</w:t>
            </w:r>
          </w:p>
        </w:tc>
        <w:tc>
          <w:tcPr>
            <w:tcW w:w="7657" w:type="dxa"/>
            <w:gridSpan w:val="2"/>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菏泽市公共资源（国有产权）电子平台使用收费标准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0" w:type="dxa"/>
            <w:vMerge w:val="continue"/>
            <w:noWrap w:val="0"/>
            <w:vAlign w:val="top"/>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p>
        </w:tc>
        <w:tc>
          <w:tcPr>
            <w:tcW w:w="5639"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300万元以下（含300万元）</w:t>
            </w:r>
          </w:p>
        </w:tc>
        <w:tc>
          <w:tcPr>
            <w:tcW w:w="2018"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0" w:type="dxa"/>
            <w:vMerge w:val="continue"/>
            <w:noWrap w:val="0"/>
            <w:vAlign w:val="top"/>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p>
        </w:tc>
        <w:tc>
          <w:tcPr>
            <w:tcW w:w="5639"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300万元-500万元（含500万元）</w:t>
            </w:r>
          </w:p>
        </w:tc>
        <w:tc>
          <w:tcPr>
            <w:tcW w:w="2018"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0" w:type="dxa"/>
            <w:vMerge w:val="continue"/>
            <w:noWrap w:val="0"/>
            <w:vAlign w:val="top"/>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p>
        </w:tc>
        <w:tc>
          <w:tcPr>
            <w:tcW w:w="5639"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500万元-1000万元（含1000万元）</w:t>
            </w:r>
          </w:p>
        </w:tc>
        <w:tc>
          <w:tcPr>
            <w:tcW w:w="2018"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0" w:type="dxa"/>
            <w:vMerge w:val="continue"/>
            <w:noWrap w:val="0"/>
            <w:vAlign w:val="top"/>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p>
        </w:tc>
        <w:tc>
          <w:tcPr>
            <w:tcW w:w="5639"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1000万元-3000万元（含3000万元）</w:t>
            </w:r>
          </w:p>
        </w:tc>
        <w:tc>
          <w:tcPr>
            <w:tcW w:w="2018"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0" w:type="dxa"/>
            <w:vMerge w:val="continue"/>
            <w:noWrap w:val="0"/>
            <w:vAlign w:val="top"/>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p>
        </w:tc>
        <w:tc>
          <w:tcPr>
            <w:tcW w:w="5639"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3000万元-5000万元（含5000万元）</w:t>
            </w:r>
          </w:p>
        </w:tc>
        <w:tc>
          <w:tcPr>
            <w:tcW w:w="2018"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0" w:type="dxa"/>
            <w:vMerge w:val="continue"/>
            <w:noWrap w:val="0"/>
            <w:vAlign w:val="top"/>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p>
        </w:tc>
        <w:tc>
          <w:tcPr>
            <w:tcW w:w="5639"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5000万元-1亿元（含1亿元）</w:t>
            </w:r>
          </w:p>
        </w:tc>
        <w:tc>
          <w:tcPr>
            <w:tcW w:w="2018"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Merge w:val="continue"/>
            <w:noWrap w:val="0"/>
            <w:vAlign w:val="top"/>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p>
        </w:tc>
        <w:tc>
          <w:tcPr>
            <w:tcW w:w="7657" w:type="dxa"/>
            <w:gridSpan w:val="2"/>
            <w:noWrap w:val="0"/>
            <w:vAlign w:val="top"/>
          </w:tcPr>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备注：</w:t>
            </w:r>
          </w:p>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1、单项最低收费1000元。</w:t>
            </w:r>
          </w:p>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2、货物与服务类项目中标金额/成交金额超出3000万元（不含3000万元）部分不再收取菏泽市公共资源（国有产权）电子平台使用费。</w:t>
            </w:r>
          </w:p>
          <w:p>
            <w:pPr>
              <w:spacing w:line="360" w:lineRule="auto"/>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3、工程类项目中标金额/成交金额超出1亿元（不含1亿元）部分不再收取菏泽市公共资源（国有产权）电子平台使用费。</w:t>
            </w:r>
          </w:p>
        </w:tc>
      </w:tr>
    </w:tbl>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1.5.4交易平台使用费：赢标·电子招标采购交易平台（菏泽专区）收费标准：按照赢标·电子招标采购交易平台（菏泽专区）使用费标准执行。</w:t>
      </w:r>
    </w:p>
    <w:tbl>
      <w:tblPr>
        <w:tblStyle w:val="33"/>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3552"/>
        <w:gridCol w:w="4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040" w:type="dxa"/>
            <w:gridSpan w:val="3"/>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电子招标采购交易平台收费标准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6" w:type="dxa"/>
            <w:noWrap w:val="0"/>
            <w:vAlign w:val="center"/>
          </w:tcPr>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区间</w:t>
            </w:r>
          </w:p>
        </w:tc>
        <w:tc>
          <w:tcPr>
            <w:tcW w:w="3552"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概（估）价范围</w:t>
            </w:r>
          </w:p>
        </w:tc>
        <w:tc>
          <w:tcPr>
            <w:tcW w:w="4722"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收费金额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66" w:type="dxa"/>
            <w:noWrap w:val="0"/>
            <w:vAlign w:val="center"/>
          </w:tcPr>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3552"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概（估）价&lt;50万</w:t>
            </w:r>
          </w:p>
        </w:tc>
        <w:tc>
          <w:tcPr>
            <w:tcW w:w="4722"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66" w:type="dxa"/>
            <w:noWrap w:val="0"/>
            <w:vAlign w:val="center"/>
          </w:tcPr>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3552"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50万≤概（估）价&lt;300万</w:t>
            </w:r>
          </w:p>
        </w:tc>
        <w:tc>
          <w:tcPr>
            <w:tcW w:w="4722"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6" w:type="dxa"/>
            <w:noWrap w:val="0"/>
            <w:vAlign w:val="center"/>
          </w:tcPr>
          <w:p>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3552"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300万≤概（估）价</w:t>
            </w:r>
          </w:p>
        </w:tc>
        <w:tc>
          <w:tcPr>
            <w:tcW w:w="4722" w:type="dxa"/>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040" w:type="dxa"/>
            <w:gridSpan w:val="3"/>
            <w:noWrap w:val="0"/>
            <w:vAlign w:val="center"/>
          </w:tcPr>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为了降低</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参与投标的成本，平台提供按次收费模式，即参与一次平台交易标段收取一次费用，收费金额依据交易项目标段的概算价确定。中标人在领取中标通知书时交至赢标·电子招标采购交易平台（菏泽专区）</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备注：平台技术联系人：毕老师 15898683755   刘老师15552513997</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平台收费联系人：毕老师 15898683755</w:t>
            </w:r>
          </w:p>
        </w:tc>
      </w:tr>
    </w:tbl>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无论招标过程中的方法和结果如何，供应商自行承担所有与参加投标的有关的费用。</w:t>
      </w:r>
    </w:p>
    <w:p>
      <w:pPr>
        <w:pStyle w:val="29"/>
        <w:spacing w:line="360" w:lineRule="auto"/>
        <w:rPr>
          <w:rFonts w:asciiTheme="minorEastAsia" w:hAnsiTheme="minorEastAsia" w:eastAsiaTheme="minorEastAsia" w:cstheme="minorEastAsia"/>
          <w:color w:val="auto"/>
          <w:sz w:val="30"/>
          <w:szCs w:val="30"/>
          <w:highlight w:val="none"/>
        </w:rPr>
      </w:pPr>
      <w:bookmarkStart w:id="35" w:name="_Toc11676"/>
      <w:r>
        <w:rPr>
          <w:rFonts w:hint="eastAsia" w:asciiTheme="minorEastAsia" w:hAnsiTheme="minorEastAsia" w:eastAsiaTheme="minorEastAsia" w:cstheme="minorEastAsia"/>
          <w:color w:val="auto"/>
          <w:sz w:val="30"/>
          <w:szCs w:val="30"/>
          <w:highlight w:val="none"/>
        </w:rPr>
        <w:t>八、</w:t>
      </w:r>
      <w:bookmarkEnd w:id="33"/>
      <w:bookmarkEnd w:id="34"/>
      <w:bookmarkEnd w:id="35"/>
      <w:r>
        <w:rPr>
          <w:rFonts w:hint="eastAsia" w:asciiTheme="minorEastAsia" w:hAnsiTheme="minorEastAsia" w:eastAsiaTheme="minorEastAsia" w:cstheme="minorEastAsia"/>
          <w:color w:val="auto"/>
          <w:sz w:val="30"/>
          <w:szCs w:val="30"/>
          <w:highlight w:val="none"/>
        </w:rPr>
        <w:t>磋商保证金</w:t>
      </w:r>
    </w:p>
    <w:p>
      <w:pPr>
        <w:pStyle w:val="29"/>
        <w:spacing w:line="360" w:lineRule="auto"/>
        <w:rPr>
          <w:rFonts w:asciiTheme="minorEastAsia" w:hAnsiTheme="minorEastAsia" w:eastAsiaTheme="minorEastAsia" w:cstheme="minorEastAsia"/>
          <w:b w:val="0"/>
          <w:bCs w:val="0"/>
          <w:color w:val="auto"/>
          <w:sz w:val="24"/>
          <w:szCs w:val="24"/>
          <w:highlight w:val="none"/>
        </w:rPr>
      </w:pPr>
      <w:bookmarkStart w:id="36" w:name="_Toc332979552"/>
      <w:bookmarkStart w:id="37" w:name="_Toc325620711"/>
      <w:bookmarkStart w:id="38" w:name="_Toc13565"/>
      <w:r>
        <w:rPr>
          <w:rFonts w:hint="eastAsia" w:asciiTheme="minorEastAsia" w:hAnsiTheme="minorEastAsia" w:eastAsiaTheme="minorEastAsia" w:cstheme="minorEastAsia"/>
          <w:b w:val="0"/>
          <w:bCs w:val="0"/>
          <w:color w:val="auto"/>
          <w:sz w:val="24"/>
          <w:szCs w:val="24"/>
          <w:highlight w:val="none"/>
        </w:rPr>
        <w:t>详见供应商须知前附表。</w:t>
      </w:r>
    </w:p>
    <w:p>
      <w:pPr>
        <w:pStyle w:val="29"/>
        <w:spacing w:line="360" w:lineRule="auto"/>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九、无效</w:t>
      </w:r>
      <w:bookmarkEnd w:id="36"/>
      <w:bookmarkEnd w:id="37"/>
      <w:r>
        <w:rPr>
          <w:rFonts w:hint="eastAsia" w:asciiTheme="minorEastAsia" w:hAnsiTheme="minorEastAsia" w:eastAsiaTheme="minorEastAsia" w:cstheme="minorEastAsia"/>
          <w:color w:val="auto"/>
          <w:sz w:val="30"/>
          <w:szCs w:val="30"/>
          <w:highlight w:val="none"/>
        </w:rPr>
        <w:t>投标</w:t>
      </w:r>
      <w:bookmarkEnd w:id="38"/>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供应商有下列情况之一,其投标视为无效投标，并严格按照《中华人民共和国政府采购法》及相关法律、法规及规章制度的规定行使权利。供应商给</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及采购人造成损失的，</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及采购人有索赔的权利，供应商应予以赔偿。</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1.提供的有关资格、资质证明文件不真实，提供虚假投标材料的；</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2.最终报价后，供应商撤回报价，退出招标的；</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3.供应商串通报价的；</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4.成交供应商不按规定要求签订合同；</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5.成交供应商不按要求提交成交服务费；</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6.在整个评审过程中，供应商有企图影响评审结果公正性的任何活动；</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7.供应商以任何方式诋毁其他供应商；</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8.以他人名义报价或者以其他方式弄虚作假，骗取中标；</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9.法律、法规规定的其他情况</w:t>
      </w:r>
      <w:bookmarkStart w:id="39" w:name="_Toc332979553"/>
      <w:bookmarkStart w:id="40" w:name="_Toc325620712"/>
      <w:r>
        <w:rPr>
          <w:rFonts w:hint="eastAsia" w:asciiTheme="minorEastAsia" w:hAnsiTheme="minorEastAsia" w:eastAsiaTheme="minorEastAsia" w:cstheme="minorEastAsia"/>
          <w:color w:val="auto"/>
          <w:sz w:val="24"/>
          <w:szCs w:val="24"/>
          <w:highlight w:val="none"/>
        </w:rPr>
        <w:t>。</w:t>
      </w:r>
    </w:p>
    <w:p>
      <w:pPr>
        <w:pStyle w:val="29"/>
        <w:spacing w:line="360" w:lineRule="auto"/>
        <w:rPr>
          <w:rFonts w:asciiTheme="minorEastAsia" w:hAnsiTheme="minorEastAsia" w:eastAsiaTheme="minorEastAsia" w:cstheme="minorEastAsia"/>
          <w:color w:val="auto"/>
          <w:sz w:val="30"/>
          <w:szCs w:val="30"/>
          <w:highlight w:val="none"/>
        </w:rPr>
      </w:pPr>
      <w:bookmarkStart w:id="41" w:name="_Toc957"/>
      <w:r>
        <w:rPr>
          <w:rFonts w:hint="eastAsia" w:asciiTheme="minorEastAsia" w:hAnsiTheme="minorEastAsia" w:eastAsiaTheme="minorEastAsia" w:cstheme="minorEastAsia"/>
          <w:color w:val="auto"/>
          <w:sz w:val="30"/>
          <w:szCs w:val="30"/>
          <w:highlight w:val="none"/>
        </w:rPr>
        <w:t>十</w:t>
      </w:r>
      <w:bookmarkStart w:id="42" w:name="_Toc259000653"/>
      <w:bookmarkStart w:id="43" w:name="_Toc304901697"/>
      <w:r>
        <w:rPr>
          <w:rFonts w:hint="eastAsia" w:asciiTheme="minorEastAsia" w:hAnsiTheme="minorEastAsia" w:eastAsiaTheme="minorEastAsia" w:cstheme="minorEastAsia"/>
          <w:color w:val="auto"/>
          <w:sz w:val="30"/>
          <w:szCs w:val="30"/>
          <w:highlight w:val="none"/>
        </w:rPr>
        <w:t>、询问与质疑</w:t>
      </w:r>
    </w:p>
    <w:p>
      <w:pPr>
        <w:pStyle w:val="130"/>
        <w:spacing w:line="360" w:lineRule="auto"/>
        <w:ind w:firstLine="504"/>
        <w:rPr>
          <w:rFonts w:ascii="宋体" w:hAnsi="宋体"/>
          <w:color w:val="auto"/>
          <w:highlight w:val="none"/>
        </w:rPr>
      </w:pPr>
      <w:r>
        <w:rPr>
          <w:rFonts w:hint="eastAsia" w:ascii="宋体" w:hAnsi="宋体"/>
          <w:color w:val="auto"/>
          <w:highlight w:val="none"/>
        </w:rPr>
        <w:t>1.询问</w:t>
      </w:r>
    </w:p>
    <w:p>
      <w:pPr>
        <w:pStyle w:val="130"/>
        <w:spacing w:line="360" w:lineRule="auto"/>
        <w:ind w:firstLine="504"/>
        <w:rPr>
          <w:rFonts w:ascii="宋体" w:hAnsi="宋体"/>
          <w:color w:val="auto"/>
          <w:highlight w:val="none"/>
        </w:rPr>
      </w:pPr>
      <w:r>
        <w:rPr>
          <w:rFonts w:hint="eastAsia" w:ascii="宋体" w:hAnsi="宋体"/>
          <w:color w:val="auto"/>
          <w:highlight w:val="none"/>
        </w:rPr>
        <w:t>供应商对采购活动事项有疑问的，可以向采购人或采购代理机构提出询问，采购人或采购代理机构将依法作出答复，但答复的内容不涉及商业秘密。</w:t>
      </w:r>
    </w:p>
    <w:p>
      <w:pPr>
        <w:pStyle w:val="130"/>
        <w:numPr>
          <w:ilvl w:val="0"/>
          <w:numId w:val="4"/>
        </w:numPr>
        <w:spacing w:line="360" w:lineRule="auto"/>
        <w:ind w:firstLine="504"/>
        <w:rPr>
          <w:rFonts w:ascii="宋体" w:hAnsi="宋体"/>
          <w:color w:val="auto"/>
          <w:highlight w:val="none"/>
        </w:rPr>
      </w:pPr>
      <w:r>
        <w:rPr>
          <w:rFonts w:hint="eastAsia" w:ascii="宋体" w:hAnsi="宋体"/>
          <w:color w:val="auto"/>
          <w:highlight w:val="none"/>
        </w:rPr>
        <w:t>质疑</w:t>
      </w:r>
    </w:p>
    <w:p>
      <w:pPr>
        <w:pStyle w:val="130"/>
        <w:spacing w:line="360" w:lineRule="auto"/>
        <w:ind w:firstLine="504"/>
        <w:rPr>
          <w:rFonts w:ascii="宋体" w:hAnsi="宋体"/>
          <w:color w:val="auto"/>
          <w:highlight w:val="none"/>
        </w:rPr>
      </w:pPr>
      <w:r>
        <w:rPr>
          <w:rFonts w:hint="eastAsia" w:ascii="宋体" w:hAnsi="宋体"/>
          <w:color w:val="auto"/>
          <w:highlight w:val="none"/>
        </w:rPr>
        <w:t>供应商提出质疑的，应以书面形式送达至</w:t>
      </w:r>
      <w:r>
        <w:rPr>
          <w:rFonts w:hint="eastAsia" w:ascii="宋体" w:hAnsi="宋体"/>
          <w:color w:val="auto"/>
          <w:highlight w:val="none"/>
          <w:lang w:eastAsia="zh-CN"/>
        </w:rPr>
        <w:t>采购代理机构</w:t>
      </w:r>
      <w:r>
        <w:rPr>
          <w:rFonts w:hint="eastAsia" w:ascii="宋体" w:hAnsi="宋体"/>
          <w:color w:val="auto"/>
          <w:highlight w:val="none"/>
        </w:rPr>
        <w:t>（菏泽市人民路与八一路交汇处帝都牡丹大厦一单元22003室），质疑书应当附上相关证明材料，否则质疑将视为无有效证据支持，将被予以驳回，并不得以上述理由要求延长质疑有效期。未递交响应文件的供应商，其未参加后续采购活动，不得对递交响应文件截止后的采购过程、采购结果提出质疑且在法定质疑期内一次性提出针对同一采购程序环节的质疑。质疑实行实名制，不得虚假质疑和恶意质疑，并对质疑内容的真实性承担责任。投标供应商有以下情形之一的，应当依照有关法律、法规、规章规定进行处罚。</w:t>
      </w:r>
    </w:p>
    <w:p>
      <w:pPr>
        <w:pStyle w:val="130"/>
        <w:spacing w:line="360" w:lineRule="auto"/>
        <w:ind w:firstLine="504"/>
        <w:rPr>
          <w:rFonts w:ascii="宋体" w:hAnsi="宋体"/>
          <w:color w:val="auto"/>
          <w:highlight w:val="none"/>
        </w:rPr>
      </w:pPr>
      <w:r>
        <w:rPr>
          <w:rFonts w:hint="eastAsia" w:ascii="宋体" w:hAnsi="宋体"/>
          <w:color w:val="auto"/>
          <w:highlight w:val="none"/>
        </w:rPr>
        <w:t>（一）捏造事实或者提供虚假质疑材料的；</w:t>
      </w:r>
    </w:p>
    <w:p>
      <w:pPr>
        <w:pStyle w:val="130"/>
        <w:spacing w:line="360" w:lineRule="auto"/>
        <w:ind w:firstLine="504"/>
        <w:rPr>
          <w:rFonts w:ascii="宋体" w:hAnsi="宋体"/>
          <w:color w:val="auto"/>
          <w:highlight w:val="none"/>
        </w:rPr>
      </w:pPr>
      <w:r>
        <w:rPr>
          <w:rFonts w:hint="eastAsia" w:ascii="宋体" w:hAnsi="宋体"/>
          <w:color w:val="auto"/>
          <w:highlight w:val="none"/>
        </w:rPr>
        <w:t>（二）借用他人名义或者伪造他人身份进行质疑的；</w:t>
      </w:r>
    </w:p>
    <w:p>
      <w:pPr>
        <w:pStyle w:val="130"/>
        <w:spacing w:line="360" w:lineRule="auto"/>
        <w:ind w:firstLine="504"/>
        <w:rPr>
          <w:rFonts w:ascii="宋体" w:hAnsi="宋体"/>
          <w:color w:val="auto"/>
          <w:highlight w:val="none"/>
        </w:rPr>
      </w:pPr>
      <w:r>
        <w:rPr>
          <w:rFonts w:hint="eastAsia" w:ascii="宋体" w:hAnsi="宋体"/>
          <w:color w:val="auto"/>
          <w:highlight w:val="none"/>
        </w:rPr>
        <w:t>（三）具有其他虚假、恶意质疑情形的。</w:t>
      </w:r>
    </w:p>
    <w:p>
      <w:pPr>
        <w:pStyle w:val="130"/>
        <w:spacing w:line="360" w:lineRule="auto"/>
        <w:ind w:firstLine="504"/>
        <w:rPr>
          <w:rFonts w:asciiTheme="minorEastAsia" w:hAnsiTheme="minorEastAsia" w:eastAsiaTheme="minorEastAsia" w:cstheme="minorEastAsia"/>
          <w:color w:val="auto"/>
          <w:sz w:val="30"/>
          <w:szCs w:val="30"/>
          <w:highlight w:val="none"/>
        </w:rPr>
      </w:pPr>
      <w:r>
        <w:rPr>
          <w:rFonts w:hint="eastAsia" w:ascii="宋体" w:hAnsi="宋体"/>
          <w:color w:val="auto"/>
          <w:highlight w:val="none"/>
        </w:rPr>
        <w:t>任何单位和个人不得指使、教唆投标供应商进行虚假、恶意质疑。</w:t>
      </w:r>
    </w:p>
    <w:p>
      <w:pPr>
        <w:pStyle w:val="29"/>
        <w:spacing w:line="360" w:lineRule="auto"/>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十一、解释权</w:t>
      </w:r>
      <w:bookmarkEnd w:id="39"/>
      <w:bookmarkEnd w:id="40"/>
      <w:bookmarkEnd w:id="41"/>
      <w:bookmarkEnd w:id="42"/>
      <w:bookmarkEnd w:id="43"/>
    </w:p>
    <w:p>
      <w:pPr>
        <w:spacing w:line="360" w:lineRule="auto"/>
        <w:ind w:firstLine="480" w:firstLineChars="200"/>
        <w:rPr>
          <w:rFonts w:asciiTheme="minorEastAsia" w:hAnsiTheme="minorEastAsia" w:eastAsiaTheme="minorEastAsia" w:cstheme="minorEastAsia"/>
          <w:b/>
          <w:bCs/>
          <w:color w:val="auto"/>
          <w:kern w:val="44"/>
          <w:sz w:val="36"/>
          <w:szCs w:val="36"/>
          <w:highlight w:val="none"/>
        </w:rPr>
      </w:pPr>
      <w:r>
        <w:rPr>
          <w:rFonts w:hint="eastAsia" w:asciiTheme="minorEastAsia" w:hAnsiTheme="minorEastAsia" w:eastAsiaTheme="minorEastAsia" w:cstheme="minorEastAsia"/>
          <w:color w:val="auto"/>
          <w:sz w:val="24"/>
          <w:szCs w:val="24"/>
          <w:highlight w:val="none"/>
        </w:rPr>
        <w:t>获取本竞争性磋商文件的供应商如果认为竞争性磋商文件的任何条款存在含糊、遗漏、相互矛盾之处，或是对于采购范围的界定和采购内容的要求不清楚，认为存在歧视、限制的情况，供应商应按照相关法律、法规、规定以书面形式向</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寻求书面澄清，未提出异议或者超过质疑时间的视为完全认同本竞争性磋商文件。本竞争性磋商文件的最终解释权归</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，当对一个问题有多种解释时以</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的书面解释为准。竞争性磋商文件未做须知明示，而又有相关法律、法规规定的，</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对此所做解释以相关的法律、法规规定为依据。</w:t>
      </w:r>
      <w:bookmarkStart w:id="44" w:name="_Toc323129563"/>
      <w:bookmarkStart w:id="45" w:name="_Toc325582067"/>
      <w:bookmarkStart w:id="46" w:name="_Toc325620713"/>
      <w:bookmarkStart w:id="47" w:name="_Toc332979554"/>
      <w:bookmarkStart w:id="48" w:name="_Toc325582572"/>
      <w:r>
        <w:rPr>
          <w:rFonts w:hint="eastAsia" w:asciiTheme="minorEastAsia" w:hAnsiTheme="minorEastAsia" w:eastAsiaTheme="minorEastAsia" w:cstheme="minorEastAsia"/>
          <w:color w:val="auto"/>
          <w:sz w:val="36"/>
          <w:szCs w:val="36"/>
          <w:highlight w:val="none"/>
        </w:rPr>
        <w:br w:type="page"/>
      </w:r>
    </w:p>
    <w:p>
      <w:pPr>
        <w:pStyle w:val="3"/>
        <w:rPr>
          <w:rFonts w:asciiTheme="minorEastAsia" w:hAnsiTheme="minorEastAsia" w:eastAsiaTheme="minorEastAsia" w:cstheme="minorEastAsia"/>
          <w:color w:val="auto"/>
          <w:sz w:val="36"/>
          <w:szCs w:val="36"/>
          <w:highlight w:val="none"/>
        </w:rPr>
      </w:pPr>
      <w:bookmarkStart w:id="49" w:name="_Toc22517"/>
      <w:r>
        <w:rPr>
          <w:rFonts w:hint="eastAsia" w:asciiTheme="minorEastAsia" w:hAnsiTheme="minorEastAsia" w:eastAsiaTheme="minorEastAsia" w:cstheme="minorEastAsia"/>
          <w:color w:val="auto"/>
          <w:sz w:val="36"/>
          <w:szCs w:val="36"/>
          <w:highlight w:val="none"/>
        </w:rPr>
        <w:t>第三部分 开标、评审、</w:t>
      </w:r>
      <w:bookmarkEnd w:id="44"/>
      <w:r>
        <w:rPr>
          <w:rFonts w:hint="eastAsia" w:asciiTheme="minorEastAsia" w:hAnsiTheme="minorEastAsia" w:eastAsiaTheme="minorEastAsia" w:cstheme="minorEastAsia"/>
          <w:color w:val="auto"/>
          <w:sz w:val="36"/>
          <w:szCs w:val="36"/>
          <w:highlight w:val="none"/>
        </w:rPr>
        <w:t>定标</w:t>
      </w:r>
      <w:bookmarkEnd w:id="45"/>
      <w:bookmarkEnd w:id="46"/>
      <w:bookmarkEnd w:id="47"/>
      <w:bookmarkEnd w:id="48"/>
      <w:bookmarkEnd w:id="49"/>
    </w:p>
    <w:p>
      <w:pPr>
        <w:pStyle w:val="29"/>
        <w:spacing w:line="360" w:lineRule="auto"/>
        <w:rPr>
          <w:rFonts w:asciiTheme="minorEastAsia" w:hAnsiTheme="minorEastAsia" w:eastAsiaTheme="minorEastAsia" w:cstheme="minorEastAsia"/>
          <w:color w:val="auto"/>
          <w:sz w:val="30"/>
          <w:szCs w:val="30"/>
          <w:highlight w:val="none"/>
        </w:rPr>
      </w:pPr>
      <w:bookmarkStart w:id="50" w:name="_Toc325620714"/>
      <w:bookmarkStart w:id="51" w:name="_Toc332979555"/>
      <w:bookmarkStart w:id="52" w:name="_Toc29040"/>
      <w:r>
        <w:rPr>
          <w:rFonts w:hint="eastAsia" w:asciiTheme="minorEastAsia" w:hAnsiTheme="minorEastAsia" w:eastAsiaTheme="minorEastAsia" w:cstheme="minorEastAsia"/>
          <w:color w:val="auto"/>
          <w:sz w:val="30"/>
          <w:szCs w:val="30"/>
          <w:highlight w:val="none"/>
        </w:rPr>
        <w:t>一、开标</w:t>
      </w:r>
      <w:bookmarkEnd w:id="50"/>
      <w:bookmarkEnd w:id="51"/>
      <w:bookmarkEnd w:id="52"/>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按照竞争性磋商文件规定的时间、地点开标。开标由</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主持，采购人、供应商和有关方面的代表参加。供应商法定代表人或其授权代理人应参加并签名报到以证明其出席。</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2.开标时，由供应商或者其推选的代表检查响应文件的密封情况。 </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3.各投标企业即可插入 CA 锁，按照现场人员指导，登录账号并等待解密。开标时间到达后，插入代理公司 CA 锁正式开启线上开标系统，设置</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解密时间为30分钟，下达开启解密 投标 文件指令后，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可在自带计算机上进行加密电子</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的线上解密，代理将解密完成的</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导入开标系统后通过电子系统生成的报价记录表依次公开唱价；公布</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名称，投标报价等内容</w:t>
      </w:r>
      <w:r>
        <w:rPr>
          <w:rFonts w:hint="eastAsia" w:asciiTheme="minorEastAsia" w:hAnsiTheme="minorEastAsia" w:eastAsiaTheme="minorEastAsia" w:cstheme="minorEastAsia"/>
          <w:color w:val="auto"/>
          <w:sz w:val="24"/>
          <w:szCs w:val="24"/>
          <w:highlight w:val="none"/>
          <w:lang w:eastAsia="zh-CN"/>
        </w:rPr>
        <w:t>。</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4、记录员将唱价内容记录并由供应商法定代表人或授权代理人签字确认。</w:t>
      </w:r>
    </w:p>
    <w:p>
      <w:pPr>
        <w:pStyle w:val="29"/>
        <w:spacing w:line="360" w:lineRule="auto"/>
        <w:rPr>
          <w:rFonts w:asciiTheme="minorEastAsia" w:hAnsiTheme="minorEastAsia" w:eastAsiaTheme="minorEastAsia" w:cstheme="minorEastAsia"/>
          <w:color w:val="auto"/>
          <w:sz w:val="30"/>
          <w:szCs w:val="30"/>
          <w:highlight w:val="none"/>
        </w:rPr>
      </w:pPr>
      <w:bookmarkStart w:id="53" w:name="_Toc325620715"/>
      <w:bookmarkStart w:id="54" w:name="_Toc27176"/>
      <w:bookmarkStart w:id="55" w:name="_Toc332979556"/>
      <w:r>
        <w:rPr>
          <w:rFonts w:hint="eastAsia" w:asciiTheme="minorEastAsia" w:hAnsiTheme="minorEastAsia" w:eastAsiaTheme="minorEastAsia" w:cstheme="minorEastAsia"/>
          <w:color w:val="auto"/>
          <w:sz w:val="30"/>
          <w:szCs w:val="30"/>
          <w:highlight w:val="none"/>
        </w:rPr>
        <w:t>二、</w:t>
      </w:r>
      <w:bookmarkEnd w:id="53"/>
      <w:bookmarkEnd w:id="54"/>
      <w:bookmarkEnd w:id="55"/>
      <w:r>
        <w:rPr>
          <w:rFonts w:hint="eastAsia" w:asciiTheme="minorEastAsia" w:hAnsiTheme="minorEastAsia" w:eastAsiaTheme="minorEastAsia" w:cstheme="minorEastAsia"/>
          <w:color w:val="auto"/>
          <w:sz w:val="30"/>
          <w:szCs w:val="30"/>
          <w:highlight w:val="none"/>
        </w:rPr>
        <w:t>磋商小组</w:t>
      </w:r>
    </w:p>
    <w:p>
      <w:pPr>
        <w:pStyle w:val="29"/>
        <w:spacing w:line="360" w:lineRule="auto"/>
        <w:ind w:firstLine="720" w:firstLineChars="300"/>
        <w:rPr>
          <w:rFonts w:asciiTheme="minorEastAsia" w:hAnsiTheme="minorEastAsia" w:eastAsiaTheme="minorEastAsia" w:cstheme="minorEastAsia"/>
          <w:b w:val="0"/>
          <w:bCs w:val="0"/>
          <w:color w:val="auto"/>
          <w:sz w:val="24"/>
          <w:szCs w:val="24"/>
          <w:highlight w:val="none"/>
        </w:rPr>
      </w:pPr>
      <w:bookmarkStart w:id="56" w:name="_Toc325620716"/>
      <w:bookmarkStart w:id="57" w:name="_Toc27961"/>
      <w:bookmarkStart w:id="58" w:name="_Toc332979557"/>
      <w:r>
        <w:rPr>
          <w:rFonts w:hint="eastAsia" w:asciiTheme="minorEastAsia" w:hAnsiTheme="minorEastAsia" w:eastAsiaTheme="minorEastAsia" w:cstheme="minorEastAsia"/>
          <w:b w:val="0"/>
          <w:bCs w:val="0"/>
          <w:color w:val="auto"/>
          <w:sz w:val="24"/>
          <w:szCs w:val="24"/>
          <w:highlight w:val="none"/>
        </w:rPr>
        <w:t>采购人根据本项目的特点依法组建磋商小组，其成员由三人及以上单数组成，磋商小组负责对响应文件进行综合评审，推荐成交候选人。</w:t>
      </w:r>
    </w:p>
    <w:p>
      <w:pPr>
        <w:pStyle w:val="29"/>
        <w:spacing w:line="360" w:lineRule="auto"/>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三、评审原则</w:t>
      </w:r>
      <w:bookmarkEnd w:id="56"/>
      <w:bookmarkEnd w:id="57"/>
      <w:bookmarkEnd w:id="58"/>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“公平、公正、择优、效益”为本次招标的基本原则，磋商小组按照这一原则的要求，公正、平等地对待各供应商。同时，在评审过程中恪守以下原则：</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1、客观性原则：磋商小组将严格按照竞争性磋商文件要求的内容，对供应商的响应文件进行认真评审；磋商小组对响应文件的评审仅依据响应文件本身，而不依靠响应文件以外的任何因素；</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2、统一性原则：磋商小组将按照统一的原则和方法，对各供应商的响应文件进行评审；</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3、独立性原则：评审工作在磋商小组内部独立进行，不受外界任何因素的干扰和影响，磋商小组成员对出具的专家意见承担个人责任；</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4、保密性原则：磋商小组成员及有关工作人员将保守供应商的商业秘密；</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5、综合性原则：磋商小组将综合分析评审供应商的各项指标，而不以单项指标的优劣评定成交供应商。</w:t>
      </w:r>
    </w:p>
    <w:p>
      <w:pPr>
        <w:pStyle w:val="29"/>
        <w:spacing w:line="360" w:lineRule="auto"/>
        <w:rPr>
          <w:rFonts w:asciiTheme="minorEastAsia" w:hAnsiTheme="minorEastAsia" w:eastAsiaTheme="minorEastAsia" w:cstheme="minorEastAsia"/>
          <w:color w:val="auto"/>
          <w:sz w:val="30"/>
          <w:szCs w:val="30"/>
          <w:highlight w:val="none"/>
        </w:rPr>
      </w:pPr>
      <w:bookmarkStart w:id="59" w:name="_Toc332979558"/>
      <w:bookmarkStart w:id="60" w:name="_Toc9800"/>
      <w:bookmarkStart w:id="61" w:name="_Toc325620717"/>
      <w:r>
        <w:rPr>
          <w:rFonts w:hint="eastAsia" w:asciiTheme="minorEastAsia" w:hAnsiTheme="minorEastAsia" w:eastAsiaTheme="minorEastAsia" w:cstheme="minorEastAsia"/>
          <w:color w:val="auto"/>
          <w:sz w:val="30"/>
          <w:szCs w:val="30"/>
          <w:highlight w:val="none"/>
        </w:rPr>
        <w:t>四、评审办法</w:t>
      </w:r>
      <w:bookmarkEnd w:id="59"/>
      <w:bookmarkEnd w:id="60"/>
      <w:bookmarkEnd w:id="61"/>
    </w:p>
    <w:p>
      <w:pPr>
        <w:spacing w:line="360" w:lineRule="auto"/>
        <w:ind w:firstLine="480" w:firstLineChars="200"/>
        <w:rPr>
          <w:rFonts w:asciiTheme="minorEastAsia" w:hAnsiTheme="minorEastAsia" w:eastAsiaTheme="minorEastAsia" w:cstheme="minorEastAsia"/>
          <w:color w:val="auto"/>
          <w:sz w:val="24"/>
          <w:szCs w:val="24"/>
          <w:highlight w:val="none"/>
        </w:rPr>
      </w:pPr>
      <w:bookmarkStart w:id="62" w:name="_Toc325620718"/>
      <w:bookmarkStart w:id="63" w:name="_Toc325582573"/>
      <w:bookmarkStart w:id="64" w:name="_Toc325582068"/>
      <w:bookmarkStart w:id="65" w:name="_Toc323129564"/>
      <w:bookmarkStart w:id="66" w:name="_Toc325620720"/>
      <w:r>
        <w:rPr>
          <w:rFonts w:hint="eastAsia" w:asciiTheme="minorEastAsia" w:hAnsiTheme="minorEastAsia" w:eastAsiaTheme="minorEastAsia" w:cstheme="minorEastAsia"/>
          <w:color w:val="auto"/>
          <w:sz w:val="24"/>
          <w:szCs w:val="24"/>
          <w:highlight w:val="none"/>
        </w:rPr>
        <w:t>本次招标采用综合评分法，磋商小组成员综合评定各供应商提交的响应文件，由磋商小组综合各成员意见作出最终结论。</w:t>
      </w:r>
    </w:p>
    <w:p>
      <w:pPr>
        <w:spacing w:line="360" w:lineRule="auto"/>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1.初步评审。</w:t>
      </w:r>
    </w:p>
    <w:p>
      <w:pPr>
        <w:spacing w:line="360" w:lineRule="auto"/>
        <w:ind w:firstLine="480" w:firstLineChars="200"/>
        <w:rPr>
          <w:rFonts w:hAnsi="宋体" w:cs="仿宋"/>
          <w:color w:val="auto"/>
          <w:sz w:val="24"/>
          <w:highlight w:val="none"/>
        </w:rPr>
      </w:pPr>
      <w:r>
        <w:rPr>
          <w:rFonts w:hint="eastAsia" w:hAnsi="宋体" w:cs="仿宋"/>
          <w:color w:val="auto"/>
          <w:sz w:val="24"/>
          <w:highlight w:val="none"/>
        </w:rPr>
        <w:t>初步评审是对供应商的资格和响应文件的符合性进行审查。</w:t>
      </w:r>
    </w:p>
    <w:p>
      <w:pPr>
        <w:spacing w:line="360" w:lineRule="auto"/>
        <w:ind w:firstLine="480" w:firstLineChars="200"/>
        <w:rPr>
          <w:rFonts w:hAnsi="宋体" w:cs="仿宋"/>
          <w:color w:val="auto"/>
          <w:sz w:val="24"/>
          <w:highlight w:val="none"/>
        </w:rPr>
      </w:pPr>
      <w:r>
        <w:rPr>
          <w:rFonts w:hAnsi="宋体" w:cs="仿宋"/>
          <w:color w:val="auto"/>
          <w:sz w:val="24"/>
          <w:highlight w:val="none"/>
        </w:rPr>
        <w:t>1.1</w:t>
      </w:r>
      <w:r>
        <w:rPr>
          <w:rFonts w:hint="eastAsia" w:hAnsi="宋体" w:cs="仿宋"/>
          <w:color w:val="auto"/>
          <w:sz w:val="24"/>
          <w:highlight w:val="none"/>
        </w:rPr>
        <w:t>磋商小组依据法律法规和磋商文件的规定，对所有供应商的资格进行审查，以确定供应商是否具备投标资格，填写资格审查表并签字确认，资格审查后合格供应商不足</w:t>
      </w:r>
      <w:r>
        <w:rPr>
          <w:rFonts w:hAnsi="宋体" w:cs="仿宋"/>
          <w:color w:val="auto"/>
          <w:sz w:val="24"/>
          <w:highlight w:val="none"/>
        </w:rPr>
        <w:t xml:space="preserve"> 3 </w:t>
      </w:r>
      <w:r>
        <w:rPr>
          <w:rFonts w:hint="eastAsia" w:hAnsi="宋体" w:cs="仿宋"/>
          <w:color w:val="auto"/>
          <w:sz w:val="24"/>
          <w:highlight w:val="none"/>
        </w:rPr>
        <w:t>家的，不得进行符合性审查。</w:t>
      </w:r>
    </w:p>
    <w:p>
      <w:pPr>
        <w:spacing w:line="360" w:lineRule="auto"/>
        <w:ind w:firstLine="480" w:firstLineChars="200"/>
        <w:rPr>
          <w:color w:val="auto"/>
          <w:highlight w:val="none"/>
        </w:rPr>
      </w:pPr>
      <w:r>
        <w:rPr>
          <w:rFonts w:hAnsi="宋体" w:cs="仿宋"/>
          <w:color w:val="auto"/>
          <w:sz w:val="24"/>
          <w:highlight w:val="none"/>
        </w:rPr>
        <w:t>1.</w:t>
      </w:r>
      <w:r>
        <w:rPr>
          <w:rFonts w:hint="eastAsia" w:hAnsi="宋体" w:cs="仿宋"/>
          <w:color w:val="auto"/>
          <w:sz w:val="24"/>
          <w:highlight w:val="none"/>
        </w:rPr>
        <w:t>2对于通过资格评审的供应商，磋商小组将进行符合性评审，以确定每一供应商响应文件的有效性、完整性和对磋商文件的响应情况，看其是否对磋商文件的要求做出了实质性的响应，而没有重大偏离。</w:t>
      </w:r>
    </w:p>
    <w:p>
      <w:pPr>
        <w:spacing w:line="360" w:lineRule="auto"/>
        <w:ind w:firstLine="480" w:firstLineChars="200"/>
        <w:rPr>
          <w:rFonts w:hAnsi="宋体" w:cs="仿宋"/>
          <w:color w:val="auto"/>
          <w:sz w:val="24"/>
          <w:highlight w:val="none"/>
        </w:rPr>
      </w:pPr>
      <w:r>
        <w:rPr>
          <w:rFonts w:hAnsi="宋体" w:cs="仿宋"/>
          <w:color w:val="auto"/>
          <w:sz w:val="24"/>
          <w:highlight w:val="none"/>
        </w:rPr>
        <w:t>1.</w:t>
      </w:r>
      <w:r>
        <w:rPr>
          <w:rFonts w:hint="eastAsia" w:hAnsi="宋体" w:cs="仿宋"/>
          <w:color w:val="auto"/>
          <w:sz w:val="24"/>
          <w:highlight w:val="none"/>
        </w:rPr>
        <w:t>3如出现下列情形之一的，视为对磋商文件没有做出实质性响应，按照无效投标处理。</w:t>
      </w:r>
    </w:p>
    <w:p>
      <w:pPr>
        <w:spacing w:line="360" w:lineRule="auto"/>
        <w:ind w:firstLine="480" w:firstLineChars="200"/>
        <w:rPr>
          <w:rFonts w:hAnsi="宋体" w:cs="仿宋"/>
          <w:color w:val="auto"/>
          <w:sz w:val="24"/>
          <w:highlight w:val="none"/>
        </w:rPr>
      </w:pPr>
      <w:r>
        <w:rPr>
          <w:rFonts w:hint="eastAsia" w:hAnsi="宋体" w:cs="仿宋"/>
          <w:color w:val="auto"/>
          <w:sz w:val="24"/>
          <w:highlight w:val="none"/>
        </w:rPr>
        <w:t>（</w:t>
      </w:r>
      <w:r>
        <w:rPr>
          <w:rFonts w:hAnsi="宋体" w:cs="仿宋"/>
          <w:color w:val="auto"/>
          <w:sz w:val="24"/>
          <w:highlight w:val="none"/>
        </w:rPr>
        <w:t>1</w:t>
      </w:r>
      <w:r>
        <w:rPr>
          <w:rFonts w:hint="eastAsia" w:hAnsi="宋体" w:cs="仿宋"/>
          <w:color w:val="auto"/>
          <w:sz w:val="24"/>
          <w:highlight w:val="none"/>
        </w:rPr>
        <w:t>）响应文件未按磋商文件要求签署、盖章的；</w:t>
      </w:r>
    </w:p>
    <w:p>
      <w:pPr>
        <w:spacing w:line="360" w:lineRule="auto"/>
        <w:ind w:firstLine="480" w:firstLineChars="200"/>
        <w:rPr>
          <w:rFonts w:hAnsi="宋体" w:cs="仿宋"/>
          <w:color w:val="auto"/>
          <w:sz w:val="24"/>
          <w:highlight w:val="none"/>
        </w:rPr>
      </w:pPr>
      <w:r>
        <w:rPr>
          <w:rFonts w:hint="eastAsia" w:hAnsi="宋体" w:cs="仿宋"/>
          <w:color w:val="auto"/>
          <w:sz w:val="24"/>
          <w:highlight w:val="none"/>
        </w:rPr>
        <w:t>（2）不具备磋商文件中规定的资格要求的；</w:t>
      </w:r>
    </w:p>
    <w:p>
      <w:pPr>
        <w:spacing w:line="360" w:lineRule="auto"/>
        <w:ind w:firstLine="480" w:firstLineChars="200"/>
        <w:rPr>
          <w:rFonts w:hAnsi="宋体" w:cs="仿宋"/>
          <w:color w:val="auto"/>
          <w:sz w:val="24"/>
          <w:highlight w:val="none"/>
        </w:rPr>
      </w:pPr>
      <w:r>
        <w:rPr>
          <w:rFonts w:hint="eastAsia" w:hAnsi="宋体" w:cs="仿宋"/>
          <w:color w:val="auto"/>
          <w:sz w:val="24"/>
          <w:highlight w:val="none"/>
        </w:rPr>
        <w:t>（3）投标有效期不满足磋商文件要求的；</w:t>
      </w:r>
    </w:p>
    <w:p>
      <w:pPr>
        <w:spacing w:line="360" w:lineRule="auto"/>
        <w:ind w:firstLine="480" w:firstLineChars="200"/>
        <w:rPr>
          <w:rFonts w:hAnsi="宋体" w:cs="仿宋"/>
          <w:color w:val="auto"/>
          <w:sz w:val="24"/>
          <w:highlight w:val="none"/>
        </w:rPr>
      </w:pPr>
      <w:r>
        <w:rPr>
          <w:rFonts w:hint="eastAsia" w:hAnsi="宋体" w:cs="仿宋"/>
          <w:color w:val="auto"/>
          <w:sz w:val="24"/>
          <w:highlight w:val="none"/>
        </w:rPr>
        <w:t>（4）未按磋商文件要求报价的；</w:t>
      </w:r>
    </w:p>
    <w:p>
      <w:pPr>
        <w:spacing w:line="360" w:lineRule="auto"/>
        <w:ind w:firstLine="480" w:firstLineChars="200"/>
        <w:rPr>
          <w:rFonts w:hAnsi="宋体" w:cs="仿宋"/>
          <w:color w:val="auto"/>
          <w:sz w:val="24"/>
          <w:highlight w:val="none"/>
        </w:rPr>
      </w:pPr>
      <w:r>
        <w:rPr>
          <w:rFonts w:hint="eastAsia" w:hAnsi="宋体" w:cs="仿宋"/>
          <w:color w:val="auto"/>
          <w:sz w:val="24"/>
          <w:highlight w:val="none"/>
        </w:rPr>
        <w:t>（5）报价超过磋商文件中规定的预算金额</w:t>
      </w:r>
      <w:r>
        <w:rPr>
          <w:rFonts w:hint="eastAsia" w:hAnsi="宋体" w:cs="仿宋"/>
          <w:bCs/>
          <w:color w:val="auto"/>
          <w:sz w:val="24"/>
          <w:highlight w:val="none"/>
        </w:rPr>
        <w:t>的或经磋商小组认定低于成本的；</w:t>
      </w:r>
    </w:p>
    <w:p>
      <w:pPr>
        <w:spacing w:line="360" w:lineRule="auto"/>
        <w:ind w:firstLine="480" w:firstLineChars="200"/>
        <w:rPr>
          <w:rFonts w:hAnsi="宋体" w:cs="仿宋"/>
          <w:color w:val="auto"/>
          <w:sz w:val="24"/>
          <w:highlight w:val="none"/>
        </w:rPr>
      </w:pPr>
      <w:r>
        <w:rPr>
          <w:rFonts w:hint="eastAsia" w:hAnsi="宋体" w:cs="仿宋"/>
          <w:color w:val="auto"/>
          <w:sz w:val="24"/>
          <w:highlight w:val="none"/>
        </w:rPr>
        <w:t>（6）响应文件含有采购人不能接受的附加条件的；</w:t>
      </w:r>
    </w:p>
    <w:p>
      <w:pPr>
        <w:spacing w:line="360" w:lineRule="auto"/>
        <w:ind w:firstLine="480" w:firstLineChars="200"/>
        <w:rPr>
          <w:rFonts w:hAnsi="宋体" w:cs="仿宋"/>
          <w:color w:val="auto"/>
          <w:sz w:val="24"/>
          <w:highlight w:val="none"/>
        </w:rPr>
      </w:pPr>
      <w:r>
        <w:rPr>
          <w:rFonts w:hint="eastAsia" w:hAnsi="宋体" w:cs="仿宋"/>
          <w:color w:val="auto"/>
          <w:sz w:val="24"/>
          <w:highlight w:val="none"/>
        </w:rPr>
        <w:t>（7）响应文件载明的交货时间超过磋商文件规定的时间且不能被采购人接受；</w:t>
      </w:r>
    </w:p>
    <w:p>
      <w:pPr>
        <w:spacing w:line="360" w:lineRule="auto"/>
        <w:ind w:left="480"/>
        <w:rPr>
          <w:rFonts w:hAnsi="宋体" w:cs="仿宋"/>
          <w:color w:val="auto"/>
          <w:sz w:val="24"/>
          <w:highlight w:val="none"/>
        </w:rPr>
      </w:pPr>
      <w:r>
        <w:rPr>
          <w:rFonts w:hint="eastAsia" w:hAnsi="宋体" w:cs="仿宋"/>
          <w:color w:val="auto"/>
          <w:sz w:val="24"/>
          <w:highlight w:val="none"/>
        </w:rPr>
        <w:t>（8）响应文件中的产品技术参数明显不符合磋商文件要求；</w:t>
      </w:r>
    </w:p>
    <w:p>
      <w:pPr>
        <w:spacing w:line="360" w:lineRule="auto"/>
        <w:ind w:left="480"/>
        <w:rPr>
          <w:rFonts w:hAnsi="宋体" w:cs="仿宋"/>
          <w:color w:val="auto"/>
          <w:sz w:val="24"/>
          <w:highlight w:val="none"/>
        </w:rPr>
      </w:pPr>
      <w:r>
        <w:rPr>
          <w:rFonts w:hint="eastAsia" w:hAnsi="宋体" w:cs="仿宋"/>
          <w:color w:val="auto"/>
          <w:sz w:val="24"/>
          <w:highlight w:val="none"/>
        </w:rPr>
        <w:t>（9）磋商小组认定存在重大偏离的；</w:t>
      </w:r>
    </w:p>
    <w:p>
      <w:pPr>
        <w:spacing w:line="360" w:lineRule="auto"/>
        <w:ind w:firstLine="480" w:firstLineChars="200"/>
        <w:rPr>
          <w:rFonts w:hAnsi="宋体" w:cs="仿宋"/>
          <w:bCs/>
          <w:color w:val="auto"/>
          <w:sz w:val="24"/>
          <w:highlight w:val="none"/>
        </w:rPr>
      </w:pPr>
      <w:r>
        <w:rPr>
          <w:rFonts w:hint="eastAsia" w:hAnsi="宋体" w:cs="仿宋"/>
          <w:bCs/>
          <w:color w:val="auto"/>
          <w:sz w:val="24"/>
          <w:highlight w:val="none"/>
        </w:rPr>
        <w:t>（10）供应商名称或组织结构与报名时不一致且无有效变更证明的；</w:t>
      </w:r>
    </w:p>
    <w:p>
      <w:pPr>
        <w:spacing w:line="360" w:lineRule="auto"/>
        <w:ind w:firstLine="480" w:firstLineChars="200"/>
        <w:rPr>
          <w:rFonts w:hAnsi="宋体" w:cs="仿宋"/>
          <w:bCs/>
          <w:color w:val="auto"/>
          <w:sz w:val="24"/>
          <w:highlight w:val="none"/>
        </w:rPr>
      </w:pPr>
      <w:r>
        <w:rPr>
          <w:rFonts w:hint="eastAsia" w:hAnsi="宋体" w:cs="仿宋"/>
          <w:bCs/>
          <w:color w:val="auto"/>
          <w:sz w:val="24"/>
          <w:highlight w:val="none"/>
        </w:rPr>
        <w:t>（1</w:t>
      </w:r>
      <w:r>
        <w:rPr>
          <w:rFonts w:hint="eastAsia" w:hAnsi="宋体" w:cs="仿宋"/>
          <w:bCs/>
          <w:color w:val="auto"/>
          <w:sz w:val="24"/>
          <w:highlight w:val="none"/>
          <w:lang w:val="en-US" w:eastAsia="zh-CN"/>
        </w:rPr>
        <w:t>1</w:t>
      </w:r>
      <w:r>
        <w:rPr>
          <w:rFonts w:hint="eastAsia" w:hAnsi="宋体" w:cs="仿宋"/>
          <w:bCs/>
          <w:color w:val="auto"/>
          <w:sz w:val="24"/>
          <w:highlight w:val="none"/>
        </w:rPr>
        <w:t>）不符合法律、法规规定的其他情形或磋商文件中规定的其他实质性要求。</w:t>
      </w:r>
    </w:p>
    <w:p>
      <w:pPr>
        <w:spacing w:line="360" w:lineRule="auto"/>
        <w:ind w:firstLine="480" w:firstLineChars="200"/>
        <w:rPr>
          <w:rFonts w:hAnsi="宋体" w:cs="仿宋"/>
          <w:color w:val="auto"/>
          <w:sz w:val="24"/>
          <w:highlight w:val="none"/>
        </w:rPr>
      </w:pPr>
      <w:r>
        <w:rPr>
          <w:rFonts w:hint="eastAsia" w:hAnsi="宋体" w:cs="仿宋"/>
          <w:bCs/>
          <w:color w:val="auto"/>
          <w:sz w:val="24"/>
          <w:highlight w:val="none"/>
        </w:rPr>
        <w:t>1.4磋商小组将否决被确定为非实质性响应的响应文件，供应商不能通过修正或</w:t>
      </w:r>
      <w:r>
        <w:rPr>
          <w:rFonts w:hint="eastAsia" w:hAnsi="宋体" w:cs="仿宋"/>
          <w:color w:val="auto"/>
          <w:sz w:val="24"/>
          <w:highlight w:val="none"/>
        </w:rPr>
        <w:t>撤销响应文件中的不符之处而使其投标成为实质性响应的投标。</w:t>
      </w:r>
    </w:p>
    <w:p>
      <w:pPr>
        <w:spacing w:line="360" w:lineRule="auto"/>
        <w:ind w:firstLine="480" w:firstLineChars="200"/>
        <w:rPr>
          <w:rFonts w:hAnsi="宋体" w:cs="仿宋"/>
          <w:color w:val="auto"/>
          <w:sz w:val="24"/>
          <w:highlight w:val="none"/>
        </w:rPr>
      </w:pPr>
      <w:r>
        <w:rPr>
          <w:rFonts w:hAnsi="宋体" w:cs="仿宋"/>
          <w:color w:val="auto"/>
          <w:sz w:val="24"/>
          <w:highlight w:val="none"/>
        </w:rPr>
        <w:t>1.</w:t>
      </w:r>
      <w:r>
        <w:rPr>
          <w:rFonts w:hint="eastAsia" w:hAnsi="宋体" w:cs="仿宋"/>
          <w:color w:val="auto"/>
          <w:sz w:val="24"/>
          <w:highlight w:val="none"/>
        </w:rPr>
        <w:t>5磋商小组认为供应商的报价明显低于其他通过符合性审查供应商的报价，有可能影响产品质量或者不能诚信履约的，且供应商在评审现场合理的时间内不能提供书面说明或相关证明材料证明其报价合理性的，磋商小组应当将其作为无效投标处理。</w:t>
      </w:r>
    </w:p>
    <w:p>
      <w:pPr>
        <w:spacing w:line="360" w:lineRule="auto"/>
        <w:ind w:firstLine="480" w:firstLineChars="200"/>
        <w:rPr>
          <w:rFonts w:hAnsi="宋体" w:cs="仿宋"/>
          <w:color w:val="auto"/>
          <w:sz w:val="24"/>
          <w:highlight w:val="none"/>
        </w:rPr>
      </w:pPr>
      <w:r>
        <w:rPr>
          <w:rFonts w:hAnsi="宋体" w:cs="仿宋"/>
          <w:color w:val="auto"/>
          <w:sz w:val="24"/>
          <w:highlight w:val="none"/>
        </w:rPr>
        <w:t>1.</w:t>
      </w:r>
      <w:r>
        <w:rPr>
          <w:rFonts w:hint="eastAsia" w:hAnsi="宋体" w:cs="仿宋"/>
          <w:color w:val="auto"/>
          <w:sz w:val="24"/>
          <w:highlight w:val="none"/>
        </w:rPr>
        <w:t>6磋商小组通过上述评审，确定通过初步评审的供应商名单，只有通过初步评审的供应商，才能进入详细评审。</w:t>
      </w:r>
    </w:p>
    <w:p>
      <w:pPr>
        <w:numPr>
          <w:ilvl w:val="0"/>
          <w:numId w:val="5"/>
        </w:numPr>
        <w:spacing w:line="360" w:lineRule="auto"/>
        <w:ind w:firstLine="482" w:firstLineChars="200"/>
        <w:rPr>
          <w:rFonts w:hAnsi="宋体" w:cs="仿宋"/>
          <w:b/>
          <w:color w:val="auto"/>
          <w:sz w:val="24"/>
          <w:highlight w:val="none"/>
        </w:rPr>
      </w:pPr>
      <w:r>
        <w:rPr>
          <w:rFonts w:hint="eastAsia" w:hAnsi="宋体" w:cs="仿宋"/>
          <w:b/>
          <w:color w:val="auto"/>
          <w:sz w:val="24"/>
          <w:highlight w:val="none"/>
        </w:rPr>
        <w:t>详细评审。</w:t>
      </w:r>
    </w:p>
    <w:p>
      <w:pPr>
        <w:spacing w:line="360" w:lineRule="auto"/>
        <w:ind w:firstLine="480" w:firstLineChars="200"/>
        <w:rPr>
          <w:color w:val="auto"/>
          <w:sz w:val="24"/>
          <w:highlight w:val="none"/>
        </w:rPr>
      </w:pPr>
      <w:r>
        <w:rPr>
          <w:rFonts w:hint="eastAsia"/>
          <w:color w:val="auto"/>
          <w:sz w:val="24"/>
          <w:highlight w:val="none"/>
        </w:rPr>
        <w:t>磋商小组对响应的响应文件进行两阶段评审。第一阶段，磋商小组将与通过初步评审的供应商分别进行磋商，并根据磋商情况要求供应商再次报价。第二阶段为综合评分。经初审合格的响应文件，磋商小组将根据磋商文件确定的评审标准和方法作进一步的比较和评价。磋商小组按照“综合实力最强、能够最大限度满足磋商文件中规定的各项综合评价标准，并且投标报价合理”的原则按评分细则对各供应商进行比较和评价打分，按最终得分（保留两位有效数字）由高到低排序向采购人推荐前三名的供应商为成交侯选人，得分相同的，报价较低的一方排序在先。得分且投标报价相同的，技术指标较优的一方排序在先。</w:t>
      </w:r>
    </w:p>
    <w:p>
      <w:pPr>
        <w:rPr>
          <w:rFonts w:asciiTheme="minorEastAsia" w:hAnsiTheme="minorEastAsia" w:eastAsiaTheme="minorEastAsia" w:cstheme="minorEastAsia"/>
          <w:b/>
          <w:bCs/>
          <w:color w:val="auto"/>
          <w:sz w:val="24"/>
          <w:szCs w:val="24"/>
          <w:highlight w:val="none"/>
        </w:rPr>
      </w:pPr>
    </w:p>
    <w:p>
      <w:p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br w:type="page"/>
      </w:r>
    </w:p>
    <w:p>
      <w:pPr>
        <w:spacing w:line="360" w:lineRule="auto"/>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评分细则</w:t>
      </w:r>
      <w:r>
        <w:rPr>
          <w:rFonts w:hint="eastAsia" w:asciiTheme="minorEastAsia" w:hAnsiTheme="minorEastAsia" w:eastAsiaTheme="minorEastAsia" w:cstheme="minorEastAsia"/>
          <w:color w:val="auto"/>
          <w:sz w:val="24"/>
          <w:szCs w:val="24"/>
          <w:highlight w:val="none"/>
        </w:rPr>
        <w:t>：</w:t>
      </w:r>
    </w:p>
    <w:tbl>
      <w:tblPr>
        <w:tblStyle w:val="32"/>
        <w:tblpPr w:leftFromText="180" w:rightFromText="180" w:vertAnchor="text" w:horzAnchor="page" w:tblpX="1143" w:tblpY="404"/>
        <w:tblOverlap w:val="never"/>
        <w:tblW w:w="9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440"/>
        <w:gridCol w:w="820"/>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647" w:type="dxa"/>
            <w:gridSpan w:val="2"/>
            <w:vAlign w:val="center"/>
          </w:tcPr>
          <w:p>
            <w:pPr>
              <w:topLinePunct/>
              <w:spacing w:line="360" w:lineRule="auto"/>
              <w:jc w:val="center"/>
              <w:rPr>
                <w:rFonts w:hAnsi="宋体"/>
                <w:color w:val="auto"/>
                <w:sz w:val="24"/>
                <w:highlight w:val="none"/>
              </w:rPr>
            </w:pPr>
            <w:r>
              <w:rPr>
                <w:rFonts w:hint="eastAsia" w:hAnsi="宋体"/>
                <w:color w:val="auto"/>
                <w:sz w:val="24"/>
                <w:highlight w:val="none"/>
              </w:rPr>
              <w:t>评分项目</w:t>
            </w:r>
          </w:p>
        </w:tc>
        <w:tc>
          <w:tcPr>
            <w:tcW w:w="820" w:type="dxa"/>
            <w:vAlign w:val="center"/>
          </w:tcPr>
          <w:p>
            <w:pPr>
              <w:topLinePunct/>
              <w:spacing w:line="360" w:lineRule="auto"/>
              <w:jc w:val="center"/>
              <w:rPr>
                <w:rFonts w:hAnsi="宋体"/>
                <w:color w:val="auto"/>
                <w:sz w:val="24"/>
                <w:highlight w:val="none"/>
              </w:rPr>
            </w:pPr>
            <w:r>
              <w:rPr>
                <w:rFonts w:hint="eastAsia" w:hAnsi="宋体"/>
                <w:color w:val="auto"/>
                <w:sz w:val="24"/>
                <w:highlight w:val="none"/>
              </w:rPr>
              <w:t>分值</w:t>
            </w:r>
          </w:p>
        </w:tc>
        <w:tc>
          <w:tcPr>
            <w:tcW w:w="6137" w:type="dxa"/>
            <w:vAlign w:val="center"/>
          </w:tcPr>
          <w:p>
            <w:pPr>
              <w:topLinePunct/>
              <w:spacing w:line="360" w:lineRule="auto"/>
              <w:jc w:val="center"/>
              <w:rPr>
                <w:rFonts w:hAnsi="宋体"/>
                <w:color w:val="auto"/>
                <w:sz w:val="24"/>
                <w:highlight w:val="none"/>
              </w:rPr>
            </w:pPr>
            <w:r>
              <w:rPr>
                <w:rFonts w:hint="eastAsia" w:hAnsi="宋体"/>
                <w:color w:val="auto"/>
                <w:sz w:val="24"/>
                <w:highlight w:val="none"/>
              </w:rPr>
              <w:t>计分办法及内容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exact"/>
        </w:trPr>
        <w:tc>
          <w:tcPr>
            <w:tcW w:w="1207" w:type="dxa"/>
            <w:vAlign w:val="center"/>
          </w:tcPr>
          <w:p>
            <w:pPr>
              <w:jc w:val="center"/>
              <w:rPr>
                <w:rFonts w:hAnsi="宋体"/>
                <w:color w:val="auto"/>
                <w:sz w:val="24"/>
                <w:highlight w:val="none"/>
              </w:rPr>
            </w:pPr>
            <w:r>
              <w:rPr>
                <w:rFonts w:hint="eastAsia" w:hAnsi="宋体"/>
                <w:color w:val="auto"/>
                <w:sz w:val="24"/>
                <w:highlight w:val="none"/>
              </w:rPr>
              <w:t>价格部分（30分）</w:t>
            </w:r>
          </w:p>
        </w:tc>
        <w:tc>
          <w:tcPr>
            <w:tcW w:w="1440" w:type="dxa"/>
            <w:vAlign w:val="center"/>
          </w:tcPr>
          <w:p>
            <w:pPr>
              <w:rPr>
                <w:rFonts w:hAnsi="宋体"/>
                <w:color w:val="auto"/>
                <w:sz w:val="24"/>
                <w:highlight w:val="none"/>
              </w:rPr>
            </w:pPr>
            <w:r>
              <w:rPr>
                <w:rFonts w:hint="eastAsia" w:hAnsi="宋体"/>
                <w:color w:val="auto"/>
                <w:sz w:val="24"/>
                <w:highlight w:val="none"/>
              </w:rPr>
              <w:t>投标报价</w:t>
            </w:r>
          </w:p>
        </w:tc>
        <w:tc>
          <w:tcPr>
            <w:tcW w:w="820" w:type="dxa"/>
            <w:vAlign w:val="center"/>
          </w:tcPr>
          <w:p>
            <w:pPr>
              <w:jc w:val="center"/>
              <w:rPr>
                <w:rFonts w:hAnsi="宋体"/>
                <w:color w:val="auto"/>
                <w:sz w:val="24"/>
                <w:highlight w:val="none"/>
              </w:rPr>
            </w:pPr>
            <w:r>
              <w:rPr>
                <w:rFonts w:hint="eastAsia" w:hAnsi="宋体"/>
                <w:color w:val="auto"/>
                <w:sz w:val="24"/>
                <w:highlight w:val="none"/>
              </w:rPr>
              <w:t>30分</w:t>
            </w:r>
          </w:p>
        </w:tc>
        <w:tc>
          <w:tcPr>
            <w:tcW w:w="6137" w:type="dxa"/>
            <w:vAlign w:val="center"/>
          </w:tcPr>
          <w:p>
            <w:pPr>
              <w:pStyle w:val="125"/>
              <w:spacing w:before="79" w:line="364" w:lineRule="auto"/>
              <w:ind w:left="106" w:right="41"/>
              <w:rPr>
                <w:rFonts w:hint="default" w:eastAsia="宋体"/>
                <w:bCs/>
                <w:color w:val="auto"/>
                <w:sz w:val="24"/>
                <w:highlight w:val="none"/>
                <w:lang w:val="en-US" w:eastAsia="zh-CN"/>
              </w:rPr>
            </w:pPr>
            <w:r>
              <w:rPr>
                <w:color w:val="auto"/>
                <w:sz w:val="24"/>
                <w:szCs w:val="24"/>
                <w:highlight w:val="none"/>
              </w:rPr>
              <w:t>以满足</w:t>
            </w:r>
            <w:r>
              <w:rPr>
                <w:rFonts w:hint="eastAsia"/>
                <w:color w:val="auto"/>
                <w:sz w:val="24"/>
                <w:szCs w:val="24"/>
                <w:highlight w:val="none"/>
              </w:rPr>
              <w:t>磋商文件</w:t>
            </w:r>
            <w:r>
              <w:rPr>
                <w:color w:val="auto"/>
                <w:sz w:val="24"/>
                <w:szCs w:val="24"/>
                <w:highlight w:val="none"/>
              </w:rPr>
              <w:t>要求且</w:t>
            </w:r>
            <w:r>
              <w:rPr>
                <w:rFonts w:hint="eastAsia"/>
                <w:color w:val="auto"/>
                <w:sz w:val="24"/>
                <w:szCs w:val="24"/>
                <w:highlight w:val="none"/>
              </w:rPr>
              <w:t>最终报价</w:t>
            </w:r>
            <w:r>
              <w:rPr>
                <w:color w:val="auto"/>
                <w:sz w:val="24"/>
                <w:szCs w:val="24"/>
                <w:highlight w:val="none"/>
              </w:rPr>
              <w:t xml:space="preserve">最低的投标报价为评标基准价，其价格分为满分 </w:t>
            </w:r>
            <w:r>
              <w:rPr>
                <w:rFonts w:hint="eastAsia"/>
                <w:color w:val="auto"/>
                <w:sz w:val="24"/>
                <w:szCs w:val="24"/>
                <w:highlight w:val="none"/>
              </w:rPr>
              <w:t>30</w:t>
            </w:r>
            <w:r>
              <w:rPr>
                <w:color w:val="auto"/>
                <w:sz w:val="24"/>
                <w:szCs w:val="24"/>
                <w:highlight w:val="none"/>
              </w:rPr>
              <w:t>分，其他供应商的价格分按照下列公式计算：投标报价得分=（评标基准价/</w:t>
            </w:r>
            <w:r>
              <w:rPr>
                <w:rFonts w:hint="eastAsia"/>
                <w:color w:val="auto"/>
                <w:sz w:val="24"/>
                <w:szCs w:val="24"/>
                <w:highlight w:val="none"/>
              </w:rPr>
              <w:t>最终</w:t>
            </w:r>
            <w:r>
              <w:rPr>
                <w:color w:val="auto"/>
                <w:sz w:val="24"/>
                <w:szCs w:val="24"/>
                <w:highlight w:val="none"/>
              </w:rPr>
              <w:t>报价）×</w:t>
            </w:r>
            <w:r>
              <w:rPr>
                <w:rFonts w:hint="eastAsia"/>
                <w:color w:val="auto"/>
                <w:sz w:val="24"/>
                <w:szCs w:val="24"/>
                <w:highlight w:val="none"/>
              </w:rPr>
              <w:t>30</w:t>
            </w:r>
            <w:r>
              <w:rPr>
                <w:rFonts w:hint="eastAsia"/>
                <w:color w:val="auto"/>
                <w:sz w:val="24"/>
                <w:szCs w:val="24"/>
                <w:highlight w:val="none"/>
                <w:lang w:val="en-US" w:eastAsia="zh-CN"/>
              </w:rPr>
              <w:t>%</w:t>
            </w:r>
            <w:r>
              <w:rPr>
                <w:color w:val="auto"/>
                <w:sz w:val="24"/>
                <w:szCs w:val="24"/>
                <w:highlight w:val="none"/>
              </w:rPr>
              <w:t>×</w:t>
            </w:r>
            <w:r>
              <w:rPr>
                <w:rFonts w:hint="eastAsia"/>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exact"/>
        </w:trPr>
        <w:tc>
          <w:tcPr>
            <w:tcW w:w="1207" w:type="dxa"/>
            <w:vMerge w:val="restart"/>
            <w:vAlign w:val="center"/>
          </w:tcPr>
          <w:p>
            <w:pPr>
              <w:jc w:val="center"/>
              <w:rPr>
                <w:rFonts w:hAnsi="宋体"/>
                <w:color w:val="auto"/>
                <w:sz w:val="24"/>
                <w:highlight w:val="none"/>
              </w:rPr>
            </w:pPr>
            <w:r>
              <w:rPr>
                <w:rFonts w:hint="eastAsia" w:hAnsi="宋体"/>
                <w:color w:val="auto"/>
                <w:sz w:val="24"/>
                <w:highlight w:val="none"/>
              </w:rPr>
              <w:t>技术部分（</w:t>
            </w:r>
            <w:r>
              <w:rPr>
                <w:rFonts w:hint="eastAsia" w:hAnsi="宋体"/>
                <w:color w:val="auto"/>
                <w:sz w:val="24"/>
                <w:highlight w:val="none"/>
                <w:lang w:val="en-US" w:eastAsia="zh-CN"/>
              </w:rPr>
              <w:t>50</w:t>
            </w:r>
            <w:r>
              <w:rPr>
                <w:rFonts w:hint="eastAsia" w:hAnsi="宋体"/>
                <w:color w:val="auto"/>
                <w:sz w:val="24"/>
                <w:highlight w:val="none"/>
              </w:rPr>
              <w:t>分）</w:t>
            </w:r>
          </w:p>
        </w:tc>
        <w:tc>
          <w:tcPr>
            <w:tcW w:w="1440" w:type="dxa"/>
            <w:vAlign w:val="center"/>
          </w:tcPr>
          <w:p>
            <w:pPr>
              <w:jc w:val="center"/>
              <w:rPr>
                <w:rFonts w:hAnsi="宋体"/>
                <w:color w:val="auto"/>
                <w:sz w:val="24"/>
                <w:highlight w:val="none"/>
              </w:rPr>
            </w:pPr>
            <w:r>
              <w:rPr>
                <w:rFonts w:hint="eastAsia" w:hAnsi="宋体"/>
                <w:color w:val="auto"/>
                <w:sz w:val="24"/>
                <w:highlight w:val="none"/>
              </w:rPr>
              <w:t>技术参数</w:t>
            </w:r>
            <w:r>
              <w:rPr>
                <w:rFonts w:hint="eastAsia" w:hAnsi="宋体"/>
                <w:bCs/>
                <w:color w:val="auto"/>
                <w:sz w:val="24"/>
                <w:highlight w:val="none"/>
              </w:rPr>
              <w:t>产品指标</w:t>
            </w:r>
            <w:r>
              <w:rPr>
                <w:rFonts w:hint="eastAsia" w:hAnsi="宋体"/>
                <w:color w:val="auto"/>
                <w:sz w:val="24"/>
                <w:highlight w:val="none"/>
              </w:rPr>
              <w:t>等</w:t>
            </w:r>
          </w:p>
        </w:tc>
        <w:tc>
          <w:tcPr>
            <w:tcW w:w="820" w:type="dxa"/>
            <w:vAlign w:val="center"/>
          </w:tcPr>
          <w:p>
            <w:pPr>
              <w:jc w:val="center"/>
              <w:rPr>
                <w:rFonts w:hAnsi="宋体"/>
                <w:color w:val="auto"/>
                <w:sz w:val="24"/>
                <w:highlight w:val="none"/>
              </w:rPr>
            </w:pPr>
            <w:r>
              <w:rPr>
                <w:rFonts w:hint="eastAsia" w:hAnsi="宋体"/>
                <w:color w:val="auto"/>
                <w:sz w:val="24"/>
                <w:highlight w:val="none"/>
                <w:lang w:val="en-US" w:eastAsia="zh-CN"/>
              </w:rPr>
              <w:t>16</w:t>
            </w:r>
            <w:r>
              <w:rPr>
                <w:rFonts w:hint="eastAsia" w:hAnsi="宋体"/>
                <w:color w:val="auto"/>
                <w:sz w:val="24"/>
                <w:highlight w:val="none"/>
              </w:rPr>
              <w:t>分</w:t>
            </w:r>
          </w:p>
        </w:tc>
        <w:tc>
          <w:tcPr>
            <w:tcW w:w="6137" w:type="dxa"/>
            <w:vAlign w:val="center"/>
          </w:tcPr>
          <w:p>
            <w:pPr>
              <w:topLinePunct/>
              <w:spacing w:line="360" w:lineRule="auto"/>
              <w:rPr>
                <w:rFonts w:hAnsi="宋体"/>
                <w:bCs/>
                <w:color w:val="auto"/>
                <w:sz w:val="24"/>
                <w:highlight w:val="none"/>
              </w:rPr>
            </w:pPr>
            <w:r>
              <w:rPr>
                <w:rFonts w:hint="eastAsia" w:hAnsi="宋体"/>
                <w:bCs/>
                <w:color w:val="auto"/>
                <w:sz w:val="24"/>
                <w:highlight w:val="none"/>
                <w:lang w:val="zh-CN"/>
              </w:rPr>
              <w:t>磋商小组审定供应商所投产品是否符合磋商文件中要求的</w:t>
            </w:r>
            <w:r>
              <w:rPr>
                <w:rFonts w:hint="eastAsia" w:hAnsi="宋体"/>
                <w:bCs/>
                <w:color w:val="auto"/>
                <w:sz w:val="24"/>
                <w:highlight w:val="none"/>
              </w:rPr>
              <w:t>产品</w:t>
            </w:r>
            <w:r>
              <w:rPr>
                <w:rFonts w:hint="eastAsia" w:hAnsi="宋体"/>
                <w:bCs/>
                <w:color w:val="auto"/>
                <w:sz w:val="24"/>
                <w:highlight w:val="none"/>
                <w:lang w:eastAsia="zh-CN"/>
              </w:rPr>
              <w:t>技术参数</w:t>
            </w:r>
            <w:r>
              <w:rPr>
                <w:rFonts w:hint="eastAsia" w:hAnsi="宋体"/>
                <w:bCs/>
                <w:color w:val="auto"/>
                <w:sz w:val="24"/>
                <w:highlight w:val="none"/>
              </w:rPr>
              <w:t>指标</w:t>
            </w:r>
            <w:r>
              <w:rPr>
                <w:rFonts w:hint="eastAsia" w:hAnsi="宋体"/>
                <w:bCs/>
                <w:color w:val="auto"/>
                <w:sz w:val="24"/>
                <w:highlight w:val="none"/>
                <w:lang w:val="zh-CN"/>
              </w:rPr>
              <w:t>需求。产品技术参数</w:t>
            </w:r>
            <w:r>
              <w:rPr>
                <w:rFonts w:hint="eastAsia" w:hAnsi="宋体"/>
                <w:bCs/>
                <w:color w:val="auto"/>
                <w:sz w:val="24"/>
                <w:highlight w:val="none"/>
              </w:rPr>
              <w:t>指标</w:t>
            </w:r>
            <w:r>
              <w:rPr>
                <w:rFonts w:hint="eastAsia" w:hAnsi="宋体"/>
                <w:bCs/>
                <w:color w:val="auto"/>
                <w:sz w:val="24"/>
                <w:highlight w:val="none"/>
                <w:lang w:val="zh-CN"/>
              </w:rPr>
              <w:t>全部满足</w:t>
            </w:r>
            <w:r>
              <w:rPr>
                <w:rFonts w:hint="eastAsia" w:hAnsi="宋体"/>
                <w:bCs/>
                <w:color w:val="auto"/>
                <w:sz w:val="24"/>
                <w:highlight w:val="none"/>
              </w:rPr>
              <w:t>或</w:t>
            </w:r>
            <w:r>
              <w:rPr>
                <w:rFonts w:hint="eastAsia" w:hAnsi="宋体"/>
                <w:bCs/>
                <w:color w:val="auto"/>
                <w:sz w:val="24"/>
                <w:highlight w:val="none"/>
                <w:lang w:val="zh-CN"/>
              </w:rPr>
              <w:t>优于</w:t>
            </w:r>
            <w:r>
              <w:rPr>
                <w:rFonts w:hint="eastAsia" w:hAnsi="宋体"/>
                <w:bCs/>
                <w:color w:val="auto"/>
                <w:sz w:val="24"/>
                <w:highlight w:val="none"/>
              </w:rPr>
              <w:t>磋商文件</w:t>
            </w:r>
            <w:r>
              <w:rPr>
                <w:rFonts w:hint="eastAsia" w:hAnsi="宋体"/>
                <w:bCs/>
                <w:color w:val="auto"/>
                <w:sz w:val="24"/>
                <w:highlight w:val="none"/>
                <w:lang w:val="zh-CN"/>
              </w:rPr>
              <w:t>中的技术参数的得</w:t>
            </w:r>
            <w:r>
              <w:rPr>
                <w:rFonts w:hint="eastAsia" w:hAnsi="宋体"/>
                <w:bCs/>
                <w:color w:val="auto"/>
                <w:sz w:val="24"/>
                <w:highlight w:val="none"/>
                <w:lang w:val="en-US" w:eastAsia="zh-CN"/>
              </w:rPr>
              <w:t>16</w:t>
            </w:r>
            <w:r>
              <w:rPr>
                <w:rFonts w:hint="eastAsia" w:hAnsi="宋体"/>
                <w:bCs/>
                <w:color w:val="auto"/>
                <w:sz w:val="24"/>
                <w:highlight w:val="none"/>
                <w:lang w:val="zh-CN"/>
              </w:rPr>
              <w:t>分；经磋商小组审定，每有一条</w:t>
            </w:r>
            <w:r>
              <w:rPr>
                <w:rFonts w:hint="eastAsia" w:hAnsi="宋体"/>
                <w:bCs/>
                <w:color w:val="auto"/>
                <w:sz w:val="24"/>
                <w:highlight w:val="none"/>
              </w:rPr>
              <w:t>非实质性</w:t>
            </w:r>
            <w:r>
              <w:rPr>
                <w:rFonts w:hint="eastAsia" w:hAnsi="宋体"/>
                <w:bCs/>
                <w:color w:val="auto"/>
                <w:sz w:val="24"/>
                <w:highlight w:val="none"/>
                <w:lang w:val="zh-CN"/>
              </w:rPr>
              <w:t>技术参数负偏离的，扣</w:t>
            </w:r>
            <w:r>
              <w:rPr>
                <w:rFonts w:hint="eastAsia" w:hAnsi="宋体"/>
                <w:bCs/>
                <w:color w:val="auto"/>
                <w:sz w:val="24"/>
                <w:highlight w:val="none"/>
              </w:rPr>
              <w:t>1</w:t>
            </w:r>
            <w:r>
              <w:rPr>
                <w:rFonts w:hint="eastAsia" w:hAnsi="宋体"/>
                <w:bCs/>
                <w:color w:val="auto"/>
                <w:sz w:val="24"/>
                <w:highlight w:val="none"/>
                <w:lang w:val="zh-CN"/>
              </w:rPr>
              <w:t>分</w:t>
            </w:r>
            <w:r>
              <w:rPr>
                <w:rFonts w:hint="eastAsia" w:hAnsi="宋体"/>
                <w:bCs/>
                <w:color w:val="auto"/>
                <w:sz w:val="24"/>
                <w:highlight w:val="none"/>
              </w:rPr>
              <w:t>；扣完为止</w:t>
            </w:r>
            <w:r>
              <w:rPr>
                <w:rFonts w:hint="eastAsia" w:hAnsi="宋体"/>
                <w:bCs/>
                <w:color w:val="auto"/>
                <w:sz w:val="24"/>
                <w:highlight w:val="none"/>
                <w:lang w:val="zh-CN"/>
              </w:rPr>
              <w:t>。</w:t>
            </w:r>
            <w:r>
              <w:rPr>
                <w:rFonts w:hint="eastAsia" w:hAnsi="宋体"/>
                <w:bCs/>
                <w:color w:val="auto"/>
                <w:sz w:val="24"/>
                <w:szCs w:val="24"/>
                <w:highlight w:val="none"/>
              </w:rPr>
              <w:t>（注：本项中负偏离是由磋商小组根据供应商提供的投标偏离表或相关技术资料认定）。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exact"/>
        </w:trPr>
        <w:tc>
          <w:tcPr>
            <w:tcW w:w="1207" w:type="dxa"/>
            <w:vMerge w:val="continue"/>
          </w:tcPr>
          <w:p>
            <w:pPr>
              <w:rPr>
                <w:rFonts w:hAnsi="宋体"/>
                <w:color w:val="auto"/>
                <w:sz w:val="24"/>
                <w:highlight w:val="none"/>
              </w:rPr>
            </w:pPr>
          </w:p>
        </w:tc>
        <w:tc>
          <w:tcPr>
            <w:tcW w:w="1440" w:type="dxa"/>
            <w:vAlign w:val="center"/>
          </w:tcPr>
          <w:p>
            <w:pPr>
              <w:jc w:val="center"/>
              <w:rPr>
                <w:rFonts w:hAnsi="宋体"/>
                <w:color w:val="auto"/>
                <w:sz w:val="24"/>
                <w:highlight w:val="none"/>
              </w:rPr>
            </w:pPr>
            <w:r>
              <w:rPr>
                <w:rFonts w:hint="eastAsia" w:hAnsi="宋体"/>
                <w:color w:val="auto"/>
                <w:sz w:val="24"/>
                <w:highlight w:val="none"/>
              </w:rPr>
              <w:t>产品性能</w:t>
            </w:r>
          </w:p>
        </w:tc>
        <w:tc>
          <w:tcPr>
            <w:tcW w:w="820" w:type="dxa"/>
            <w:vAlign w:val="center"/>
          </w:tcPr>
          <w:p>
            <w:pPr>
              <w:jc w:val="center"/>
              <w:rPr>
                <w:rFonts w:hAnsi="宋体"/>
                <w:color w:val="auto"/>
                <w:sz w:val="24"/>
                <w:highlight w:val="none"/>
              </w:rPr>
            </w:pPr>
            <w:r>
              <w:rPr>
                <w:rFonts w:hint="eastAsia" w:hAnsi="宋体"/>
                <w:color w:val="auto"/>
                <w:sz w:val="24"/>
                <w:highlight w:val="none"/>
              </w:rPr>
              <w:t>1</w:t>
            </w:r>
            <w:r>
              <w:rPr>
                <w:rFonts w:hint="eastAsia" w:hAnsi="宋体"/>
                <w:color w:val="auto"/>
                <w:sz w:val="24"/>
                <w:highlight w:val="none"/>
                <w:lang w:val="en-US" w:eastAsia="zh-CN"/>
              </w:rPr>
              <w:t>4</w:t>
            </w:r>
            <w:r>
              <w:rPr>
                <w:rFonts w:hint="eastAsia" w:hAnsi="宋体"/>
                <w:color w:val="auto"/>
                <w:sz w:val="24"/>
                <w:highlight w:val="none"/>
              </w:rPr>
              <w:t>分</w:t>
            </w:r>
          </w:p>
        </w:tc>
        <w:tc>
          <w:tcPr>
            <w:tcW w:w="6137" w:type="dxa"/>
            <w:vAlign w:val="center"/>
          </w:tcPr>
          <w:p>
            <w:pPr>
              <w:topLinePunct/>
              <w:spacing w:line="360" w:lineRule="auto"/>
              <w:rPr>
                <w:rFonts w:hint="eastAsia" w:hAnsi="宋体"/>
                <w:bCs/>
                <w:color w:val="auto"/>
                <w:sz w:val="24"/>
                <w:highlight w:val="none"/>
              </w:rPr>
            </w:pPr>
            <w:r>
              <w:rPr>
                <w:rFonts w:hint="eastAsia" w:hAnsi="宋体"/>
                <w:bCs/>
                <w:color w:val="auto"/>
                <w:sz w:val="24"/>
                <w:highlight w:val="none"/>
                <w:lang w:val="en-US" w:eastAsia="zh-CN"/>
              </w:rPr>
              <w:t>1、</w:t>
            </w:r>
            <w:r>
              <w:rPr>
                <w:rFonts w:ascii="宋体" w:hAnsi="宋体" w:eastAsia="宋体" w:cs="宋体"/>
                <w:color w:val="auto"/>
                <w:sz w:val="24"/>
                <w:szCs w:val="24"/>
                <w:highlight w:val="none"/>
              </w:rPr>
              <w:t>投标产品整体技术性能是否符合采购需求、投标产品配置是否全面等因素进行</w:t>
            </w:r>
            <w:r>
              <w:rPr>
                <w:rFonts w:hint="eastAsia" w:hAnsi="宋体" w:cs="宋体"/>
                <w:color w:val="auto"/>
                <w:sz w:val="24"/>
                <w:szCs w:val="24"/>
                <w:highlight w:val="none"/>
                <w:lang w:val="en-US" w:eastAsia="zh-CN"/>
              </w:rPr>
              <w:t>综合打分</w:t>
            </w:r>
            <w:r>
              <w:rPr>
                <w:rFonts w:hint="eastAsia" w:hAnsi="宋体" w:cs="宋体"/>
                <w:color w:val="auto"/>
                <w:sz w:val="24"/>
                <w:szCs w:val="24"/>
                <w:highlight w:val="none"/>
                <w:lang w:eastAsia="zh-CN"/>
              </w:rPr>
              <w:t>，</w:t>
            </w:r>
            <w:r>
              <w:rPr>
                <w:rFonts w:hint="eastAsia" w:hAnsi="宋体"/>
                <w:bCs/>
                <w:color w:val="auto"/>
                <w:sz w:val="24"/>
                <w:highlight w:val="none"/>
                <w:lang w:val="ja-JP"/>
              </w:rPr>
              <w:t>最高</w:t>
            </w:r>
            <w:r>
              <w:rPr>
                <w:rFonts w:hint="eastAsia" w:hAnsi="宋体"/>
                <w:bCs/>
                <w:color w:val="auto"/>
                <w:sz w:val="24"/>
                <w:highlight w:val="none"/>
                <w:lang w:val="ja-JP" w:eastAsia="ja-JP"/>
              </w:rPr>
              <w:t>得</w:t>
            </w:r>
            <w:r>
              <w:rPr>
                <w:rFonts w:hint="eastAsia" w:hAnsi="宋体"/>
                <w:bCs/>
                <w:color w:val="auto"/>
                <w:sz w:val="24"/>
                <w:highlight w:val="none"/>
                <w:lang w:val="en-US" w:eastAsia="zh-CN"/>
              </w:rPr>
              <w:t>7</w:t>
            </w:r>
            <w:r>
              <w:rPr>
                <w:rFonts w:hint="eastAsia" w:hAnsi="宋体"/>
                <w:bCs/>
                <w:color w:val="auto"/>
                <w:sz w:val="24"/>
                <w:highlight w:val="none"/>
              </w:rPr>
              <w:t>分</w:t>
            </w:r>
            <w:r>
              <w:rPr>
                <w:rFonts w:hint="eastAsia" w:hAnsi="宋体"/>
                <w:bCs/>
                <w:color w:val="auto"/>
                <w:sz w:val="24"/>
                <w:highlight w:val="none"/>
                <w:lang w:eastAsia="zh-CN"/>
              </w:rPr>
              <w:t>，每有一处弱项或不足扣</w:t>
            </w:r>
            <w:r>
              <w:rPr>
                <w:rFonts w:hint="eastAsia" w:hAnsi="宋体"/>
                <w:bCs/>
                <w:color w:val="auto"/>
                <w:sz w:val="24"/>
                <w:highlight w:val="none"/>
                <w:lang w:val="en-US" w:eastAsia="zh-CN"/>
              </w:rPr>
              <w:t>1分</w:t>
            </w:r>
            <w:r>
              <w:rPr>
                <w:rFonts w:hint="eastAsia" w:hAnsi="宋体"/>
                <w:bCs/>
                <w:color w:val="auto"/>
                <w:sz w:val="24"/>
                <w:highlight w:val="none"/>
              </w:rPr>
              <w:t>，扣完为止。</w:t>
            </w:r>
          </w:p>
          <w:p>
            <w:pPr>
              <w:topLinePunct/>
              <w:spacing w:line="360" w:lineRule="auto"/>
              <w:rPr>
                <w:rFonts w:hAnsi="宋体"/>
                <w:bCs/>
                <w:color w:val="auto"/>
                <w:sz w:val="24"/>
                <w:highlight w:val="none"/>
              </w:rPr>
            </w:pPr>
            <w:r>
              <w:rPr>
                <w:rFonts w:hint="eastAsia" w:hAnsi="宋体" w:cs="宋体"/>
                <w:color w:val="auto"/>
                <w:sz w:val="24"/>
                <w:szCs w:val="24"/>
                <w:highlight w:val="none"/>
                <w:lang w:val="en-US" w:eastAsia="zh-CN"/>
              </w:rPr>
              <w:t>2、</w:t>
            </w:r>
            <w:r>
              <w:rPr>
                <w:rFonts w:ascii="宋体" w:hAnsi="宋体" w:eastAsia="宋体" w:cs="宋体"/>
                <w:color w:val="auto"/>
                <w:sz w:val="24"/>
                <w:szCs w:val="24"/>
                <w:highlight w:val="none"/>
              </w:rPr>
              <w:t>产品使用是否稳定、后期使用成本高低、是否易于维护等因素进行</w:t>
            </w:r>
            <w:r>
              <w:rPr>
                <w:rFonts w:hint="eastAsia" w:hAnsi="宋体" w:cs="宋体"/>
                <w:color w:val="auto"/>
                <w:sz w:val="24"/>
                <w:szCs w:val="24"/>
                <w:highlight w:val="none"/>
                <w:lang w:val="en-US" w:eastAsia="zh-CN"/>
              </w:rPr>
              <w:t>综合打分</w:t>
            </w:r>
            <w:r>
              <w:rPr>
                <w:rFonts w:hint="eastAsia" w:hAnsi="宋体" w:cs="宋体"/>
                <w:color w:val="auto"/>
                <w:sz w:val="24"/>
                <w:szCs w:val="24"/>
                <w:highlight w:val="none"/>
                <w:lang w:eastAsia="zh-CN"/>
              </w:rPr>
              <w:t>，</w:t>
            </w:r>
            <w:r>
              <w:rPr>
                <w:rFonts w:hint="eastAsia" w:hAnsi="宋体"/>
                <w:bCs/>
                <w:color w:val="auto"/>
                <w:sz w:val="24"/>
                <w:highlight w:val="none"/>
                <w:lang w:val="ja-JP"/>
              </w:rPr>
              <w:t>最高</w:t>
            </w:r>
            <w:r>
              <w:rPr>
                <w:rFonts w:hint="eastAsia" w:hAnsi="宋体"/>
                <w:bCs/>
                <w:color w:val="auto"/>
                <w:sz w:val="24"/>
                <w:highlight w:val="none"/>
                <w:lang w:val="ja-JP" w:eastAsia="ja-JP"/>
              </w:rPr>
              <w:t>得</w:t>
            </w:r>
            <w:r>
              <w:rPr>
                <w:rFonts w:hint="eastAsia" w:hAnsi="宋体"/>
                <w:bCs/>
                <w:color w:val="auto"/>
                <w:sz w:val="24"/>
                <w:highlight w:val="none"/>
                <w:lang w:val="en-US" w:eastAsia="zh-CN"/>
              </w:rPr>
              <w:t>7</w:t>
            </w:r>
            <w:r>
              <w:rPr>
                <w:rFonts w:hint="eastAsia" w:hAnsi="宋体"/>
                <w:bCs/>
                <w:color w:val="auto"/>
                <w:sz w:val="24"/>
                <w:highlight w:val="none"/>
              </w:rPr>
              <w:t>分</w:t>
            </w:r>
            <w:r>
              <w:rPr>
                <w:rFonts w:hint="eastAsia" w:hAnsi="宋体"/>
                <w:bCs/>
                <w:color w:val="auto"/>
                <w:sz w:val="24"/>
                <w:highlight w:val="none"/>
                <w:lang w:eastAsia="zh-CN"/>
              </w:rPr>
              <w:t>，每有一处弱项或不足扣</w:t>
            </w:r>
            <w:r>
              <w:rPr>
                <w:rFonts w:hint="eastAsia" w:hAnsi="宋体"/>
                <w:bCs/>
                <w:color w:val="auto"/>
                <w:sz w:val="24"/>
                <w:highlight w:val="none"/>
                <w:lang w:val="en-US" w:eastAsia="zh-CN"/>
              </w:rPr>
              <w:t>1分</w:t>
            </w:r>
            <w:r>
              <w:rPr>
                <w:rFonts w:hint="eastAsia" w:hAnsi="宋体"/>
                <w:bCs/>
                <w:color w:val="auto"/>
                <w:sz w:val="24"/>
                <w:highlight w:val="none"/>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exact"/>
        </w:trPr>
        <w:tc>
          <w:tcPr>
            <w:tcW w:w="1207" w:type="dxa"/>
            <w:vMerge w:val="continue"/>
          </w:tcPr>
          <w:p>
            <w:pPr>
              <w:rPr>
                <w:rFonts w:hAnsi="宋体"/>
                <w:color w:val="auto"/>
                <w:sz w:val="24"/>
                <w:highlight w:val="none"/>
              </w:rPr>
            </w:pPr>
          </w:p>
        </w:tc>
        <w:tc>
          <w:tcPr>
            <w:tcW w:w="1440" w:type="dxa"/>
            <w:vAlign w:val="center"/>
          </w:tcPr>
          <w:p>
            <w:pPr>
              <w:jc w:val="center"/>
              <w:rPr>
                <w:rFonts w:hint="eastAsia" w:hAnsi="宋体" w:eastAsia="宋体"/>
                <w:color w:val="auto"/>
                <w:sz w:val="24"/>
                <w:highlight w:val="none"/>
                <w:lang w:val="en-US" w:eastAsia="zh-CN"/>
              </w:rPr>
            </w:pPr>
            <w:r>
              <w:rPr>
                <w:rFonts w:hint="eastAsia"/>
                <w:color w:val="auto"/>
                <w:sz w:val="24"/>
                <w:szCs w:val="24"/>
                <w:highlight w:val="none"/>
              </w:rPr>
              <w:t>技术保证措施</w:t>
            </w:r>
            <w:r>
              <w:rPr>
                <w:rFonts w:hint="eastAsia"/>
                <w:color w:val="auto"/>
                <w:sz w:val="24"/>
                <w:szCs w:val="24"/>
                <w:highlight w:val="none"/>
                <w:lang w:val="en-US" w:eastAsia="zh-CN"/>
              </w:rPr>
              <w:t>等</w:t>
            </w:r>
          </w:p>
        </w:tc>
        <w:tc>
          <w:tcPr>
            <w:tcW w:w="820" w:type="dxa"/>
            <w:vAlign w:val="center"/>
          </w:tcPr>
          <w:p>
            <w:pPr>
              <w:jc w:val="center"/>
              <w:rPr>
                <w:rFonts w:hAnsi="宋体"/>
                <w:color w:val="auto"/>
                <w:sz w:val="24"/>
                <w:highlight w:val="none"/>
              </w:rPr>
            </w:pPr>
            <w:r>
              <w:rPr>
                <w:rFonts w:hint="eastAsia" w:hAnsi="宋体"/>
                <w:color w:val="auto"/>
                <w:sz w:val="24"/>
                <w:highlight w:val="none"/>
              </w:rPr>
              <w:t>10分</w:t>
            </w:r>
          </w:p>
        </w:tc>
        <w:tc>
          <w:tcPr>
            <w:tcW w:w="6137" w:type="dxa"/>
            <w:vAlign w:val="center"/>
          </w:tcPr>
          <w:p>
            <w:pPr>
              <w:topLinePunct/>
              <w:spacing w:line="360" w:lineRule="auto"/>
              <w:rPr>
                <w:rFonts w:hint="eastAsia" w:hAnsi="宋体"/>
                <w:bCs/>
                <w:color w:val="auto"/>
                <w:sz w:val="24"/>
                <w:highlight w:val="none"/>
                <w:lang w:val="en-US" w:eastAsia="zh-CN"/>
              </w:rPr>
            </w:pPr>
            <w:r>
              <w:rPr>
                <w:rFonts w:hint="eastAsia" w:hAnsi="宋体"/>
                <w:bCs/>
                <w:color w:val="auto"/>
                <w:sz w:val="24"/>
                <w:highlight w:val="none"/>
                <w:lang w:val="en-US" w:eastAsia="zh-CN"/>
              </w:rPr>
              <w:t>1、供应商有完整的</w:t>
            </w:r>
            <w:r>
              <w:rPr>
                <w:rFonts w:hint="eastAsia" w:hAnsi="宋体"/>
                <w:bCs/>
                <w:color w:val="auto"/>
                <w:sz w:val="24"/>
                <w:highlight w:val="none"/>
                <w:lang w:val="ja-JP" w:eastAsia="ja-JP"/>
              </w:rPr>
              <w:t>产品主要技术保证措施</w:t>
            </w:r>
            <w:r>
              <w:rPr>
                <w:rFonts w:hint="eastAsia" w:hAnsi="宋体"/>
                <w:bCs/>
                <w:color w:val="auto"/>
                <w:sz w:val="24"/>
                <w:highlight w:val="none"/>
                <w:lang w:val="ja-JP" w:eastAsia="zh-CN"/>
              </w:rPr>
              <w:t>，</w:t>
            </w:r>
            <w:r>
              <w:rPr>
                <w:rFonts w:hint="eastAsia" w:hAnsi="宋体"/>
                <w:bCs/>
                <w:color w:val="auto"/>
                <w:sz w:val="24"/>
                <w:highlight w:val="none"/>
                <w:lang w:val="ja-JP" w:eastAsia="ja-JP"/>
              </w:rPr>
              <w:t>技术保证措施</w:t>
            </w:r>
            <w:r>
              <w:rPr>
                <w:rFonts w:hint="eastAsia" w:hAnsi="宋体"/>
                <w:bCs/>
                <w:color w:val="auto"/>
                <w:sz w:val="24"/>
                <w:highlight w:val="none"/>
                <w:lang w:val="en-US" w:eastAsia="zh-CN"/>
              </w:rPr>
              <w:t>定位准确、思路清晰、能满足采购人需求的最高得5分，每有一处弱项或不足扣1分，扣完为止；</w:t>
            </w:r>
          </w:p>
          <w:p>
            <w:pPr>
              <w:topLinePunct/>
              <w:spacing w:line="360" w:lineRule="auto"/>
              <w:rPr>
                <w:rFonts w:hint="eastAsia" w:hAnsi="宋体"/>
                <w:bCs/>
                <w:color w:val="auto"/>
                <w:sz w:val="24"/>
                <w:highlight w:val="none"/>
                <w:lang w:val="en-US" w:eastAsia="zh-CN"/>
              </w:rPr>
            </w:pPr>
            <w:r>
              <w:rPr>
                <w:rFonts w:hint="eastAsia" w:hAnsi="宋体"/>
                <w:bCs/>
                <w:color w:val="auto"/>
                <w:sz w:val="24"/>
                <w:highlight w:val="none"/>
                <w:lang w:val="en-US" w:eastAsia="zh-CN"/>
              </w:rPr>
              <w:t>2、</w:t>
            </w:r>
            <w:r>
              <w:rPr>
                <w:rFonts w:hint="eastAsia" w:hAnsi="宋体"/>
                <w:bCs/>
                <w:color w:val="auto"/>
                <w:sz w:val="24"/>
                <w:highlight w:val="none"/>
                <w:lang w:val="ja-JP" w:eastAsia="ja-JP"/>
              </w:rPr>
              <w:t>整体技术方案定位准确、思路清晰、能满足采购人需求的最高得</w:t>
            </w:r>
            <w:r>
              <w:rPr>
                <w:rFonts w:hint="eastAsia" w:hAnsi="宋体"/>
                <w:bCs/>
                <w:color w:val="auto"/>
                <w:sz w:val="24"/>
                <w:highlight w:val="none"/>
                <w:lang w:val="en-US" w:eastAsia="zh-CN"/>
              </w:rPr>
              <w:t>5</w:t>
            </w:r>
            <w:r>
              <w:rPr>
                <w:rFonts w:hint="eastAsia" w:hAnsi="宋体"/>
                <w:bCs/>
                <w:color w:val="auto"/>
                <w:sz w:val="24"/>
                <w:highlight w:val="none"/>
                <w:lang w:val="ja-JP" w:eastAsia="ja-JP"/>
              </w:rPr>
              <w:t>分，每有一处弱项或不足扣1分，扣完为止</w:t>
            </w:r>
            <w:r>
              <w:rPr>
                <w:rFonts w:hint="eastAsia" w:hAnsi="宋体"/>
                <w:bCs/>
                <w:color w:val="auto"/>
                <w:sz w:val="24"/>
                <w:highlight w:val="none"/>
                <w:lang w:val="ja-JP"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exact"/>
        </w:trPr>
        <w:tc>
          <w:tcPr>
            <w:tcW w:w="1207" w:type="dxa"/>
            <w:vMerge w:val="continue"/>
          </w:tcPr>
          <w:p>
            <w:pPr>
              <w:rPr>
                <w:rFonts w:hAnsi="宋体"/>
                <w:color w:val="auto"/>
                <w:sz w:val="24"/>
                <w:highlight w:val="none"/>
              </w:rPr>
            </w:pPr>
          </w:p>
        </w:tc>
        <w:tc>
          <w:tcPr>
            <w:tcW w:w="1440" w:type="dxa"/>
            <w:vAlign w:val="center"/>
          </w:tcPr>
          <w:p>
            <w:pPr>
              <w:jc w:val="center"/>
              <w:rPr>
                <w:color w:val="auto"/>
                <w:sz w:val="24"/>
                <w:szCs w:val="24"/>
                <w:highlight w:val="none"/>
              </w:rPr>
            </w:pPr>
            <w:r>
              <w:rPr>
                <w:rFonts w:hint="eastAsia" w:ascii="宋体" w:hAnsi="宋体" w:eastAsia="宋体" w:cs="宋体"/>
                <w:bCs/>
                <w:color w:val="auto"/>
                <w:sz w:val="24"/>
                <w:highlight w:val="none"/>
                <w:lang w:eastAsia="zh-CN"/>
              </w:rPr>
              <w:t>项目实施方案</w:t>
            </w:r>
          </w:p>
        </w:tc>
        <w:tc>
          <w:tcPr>
            <w:tcW w:w="820" w:type="dxa"/>
            <w:vAlign w:val="center"/>
          </w:tcPr>
          <w:p>
            <w:pPr>
              <w:jc w:val="center"/>
              <w:rPr>
                <w:rFonts w:hAnsi="宋体"/>
                <w:color w:val="auto"/>
                <w:sz w:val="24"/>
                <w:highlight w:val="none"/>
              </w:rPr>
            </w:pPr>
            <w:r>
              <w:rPr>
                <w:rFonts w:hint="eastAsia" w:hAnsi="宋体"/>
                <w:color w:val="auto"/>
                <w:sz w:val="24"/>
                <w:highlight w:val="none"/>
              </w:rPr>
              <w:t>10分</w:t>
            </w:r>
          </w:p>
        </w:tc>
        <w:tc>
          <w:tcPr>
            <w:tcW w:w="6137" w:type="dxa"/>
            <w:vAlign w:val="center"/>
          </w:tcPr>
          <w:p>
            <w:pPr>
              <w:topLinePunct/>
              <w:spacing w:line="360" w:lineRule="auto"/>
              <w:rPr>
                <w:rFonts w:hint="eastAsia" w:hAnsi="宋体" w:cs="宋体"/>
                <w:bCs/>
                <w:color w:val="auto"/>
                <w:sz w:val="24"/>
                <w:highlight w:val="none"/>
                <w:lang w:val="en-US" w:eastAsia="zh-CN"/>
              </w:rPr>
            </w:pPr>
            <w:r>
              <w:rPr>
                <w:rFonts w:hint="eastAsia" w:ascii="宋体" w:hAnsi="宋体" w:eastAsia="宋体" w:cs="宋体"/>
                <w:bCs/>
                <w:color w:val="auto"/>
                <w:sz w:val="24"/>
                <w:highlight w:val="none"/>
                <w:lang w:val="en-US" w:eastAsia="zh-CN"/>
              </w:rPr>
              <w:t>根据</w:t>
            </w:r>
            <w:r>
              <w:rPr>
                <w:rFonts w:hint="eastAsia" w:ascii="宋体" w:hAnsi="宋体" w:eastAsia="宋体" w:cs="宋体"/>
                <w:bCs/>
                <w:color w:val="auto"/>
                <w:sz w:val="24"/>
                <w:highlight w:val="none"/>
              </w:rPr>
              <w:t>供应商提供的项目实施方案</w:t>
            </w:r>
            <w:r>
              <w:rPr>
                <w:rFonts w:hint="eastAsia" w:ascii="宋体" w:hAnsi="宋体" w:eastAsia="宋体" w:cs="宋体"/>
                <w:bCs/>
                <w:color w:val="auto"/>
                <w:sz w:val="24"/>
                <w:highlight w:val="none"/>
                <w:lang w:val="en-US" w:eastAsia="zh-CN"/>
              </w:rPr>
              <w:t>进行综合打分</w:t>
            </w:r>
            <w:r>
              <w:rPr>
                <w:rFonts w:hint="eastAsia" w:hAnsi="宋体" w:cs="宋体"/>
                <w:bCs/>
                <w:color w:val="auto"/>
                <w:sz w:val="24"/>
                <w:highlight w:val="none"/>
                <w:lang w:val="en-US" w:eastAsia="zh-CN"/>
              </w:rPr>
              <w:t>，</w:t>
            </w:r>
          </w:p>
          <w:p>
            <w:pPr>
              <w:topLinePunct/>
              <w:spacing w:line="360" w:lineRule="auto"/>
              <w:rPr>
                <w:rFonts w:hint="eastAsia" w:hAnsi="宋体"/>
                <w:bCs/>
                <w:color w:val="auto"/>
                <w:sz w:val="24"/>
                <w:highlight w:val="none"/>
                <w:lang w:val="ja-JP" w:eastAsia="zh-CN"/>
              </w:rPr>
            </w:pPr>
            <w:r>
              <w:rPr>
                <w:rFonts w:hint="eastAsia" w:hAnsi="宋体" w:cs="宋体"/>
                <w:bCs/>
                <w:color w:val="auto"/>
                <w:sz w:val="24"/>
                <w:highlight w:val="none"/>
                <w:lang w:val="en-US" w:eastAsia="zh-CN"/>
              </w:rPr>
              <w:t>1、</w:t>
            </w:r>
            <w:r>
              <w:rPr>
                <w:rFonts w:hint="eastAsia" w:ascii="宋体" w:hAnsi="宋体" w:eastAsia="宋体" w:cs="宋体"/>
                <w:bCs/>
                <w:color w:val="auto"/>
                <w:sz w:val="24"/>
                <w:highlight w:val="none"/>
              </w:rPr>
              <w:t>技术力量、实施进度安排</w:t>
            </w:r>
            <w:r>
              <w:rPr>
                <w:rFonts w:hint="eastAsia" w:hAnsi="宋体" w:cs="宋体"/>
                <w:bCs/>
                <w:color w:val="auto"/>
                <w:sz w:val="24"/>
                <w:highlight w:val="none"/>
                <w:lang w:eastAsia="zh-CN"/>
              </w:rPr>
              <w:t>等完整、可行、能满足采购人需求的</w:t>
            </w:r>
            <w:r>
              <w:rPr>
                <w:rFonts w:hint="eastAsia" w:hAnsi="宋体"/>
                <w:bCs/>
                <w:color w:val="auto"/>
                <w:sz w:val="24"/>
                <w:highlight w:val="none"/>
                <w:lang w:val="ja-JP" w:eastAsia="ja-JP"/>
              </w:rPr>
              <w:t>最高得</w:t>
            </w:r>
            <w:r>
              <w:rPr>
                <w:rFonts w:hint="eastAsia" w:hAnsi="宋体"/>
                <w:bCs/>
                <w:color w:val="auto"/>
                <w:sz w:val="24"/>
                <w:highlight w:val="none"/>
                <w:lang w:val="en-US" w:eastAsia="zh-CN"/>
              </w:rPr>
              <w:t>5</w:t>
            </w:r>
            <w:r>
              <w:rPr>
                <w:rFonts w:hint="eastAsia" w:hAnsi="宋体"/>
                <w:bCs/>
                <w:color w:val="auto"/>
                <w:sz w:val="24"/>
                <w:highlight w:val="none"/>
                <w:lang w:val="ja-JP" w:eastAsia="ja-JP"/>
              </w:rPr>
              <w:t>分，每有一处弱项或不足扣1分，扣完为止</w:t>
            </w:r>
            <w:r>
              <w:rPr>
                <w:rFonts w:hint="eastAsia" w:hAnsi="宋体"/>
                <w:bCs/>
                <w:color w:val="auto"/>
                <w:sz w:val="24"/>
                <w:highlight w:val="none"/>
                <w:lang w:val="ja-JP" w:eastAsia="zh-CN"/>
              </w:rPr>
              <w:t>；</w:t>
            </w:r>
          </w:p>
          <w:p>
            <w:pPr>
              <w:topLinePunct/>
              <w:spacing w:line="360" w:lineRule="auto"/>
              <w:rPr>
                <w:rFonts w:hint="eastAsia" w:hAnsi="宋体"/>
                <w:bCs/>
                <w:color w:val="auto"/>
                <w:sz w:val="24"/>
                <w:highlight w:val="none"/>
                <w:lang w:val="ja-JP" w:eastAsia="zh-CN"/>
              </w:rPr>
            </w:pPr>
            <w:r>
              <w:rPr>
                <w:rFonts w:hint="eastAsia" w:hAnsi="宋体" w:cs="宋体"/>
                <w:bCs/>
                <w:color w:val="auto"/>
                <w:sz w:val="24"/>
                <w:highlight w:val="none"/>
                <w:lang w:val="en-US" w:eastAsia="zh-CN"/>
              </w:rPr>
              <w:t>2、</w:t>
            </w:r>
            <w:r>
              <w:rPr>
                <w:rFonts w:hint="eastAsia" w:ascii="宋体" w:hAnsi="宋体" w:eastAsia="宋体" w:cs="宋体"/>
                <w:bCs/>
                <w:color w:val="auto"/>
                <w:sz w:val="24"/>
                <w:highlight w:val="none"/>
              </w:rPr>
              <w:t>质量保障</w:t>
            </w:r>
            <w:r>
              <w:rPr>
                <w:rFonts w:hint="eastAsia" w:ascii="宋体" w:hAnsi="宋体" w:eastAsia="宋体" w:cs="宋体"/>
                <w:bCs/>
                <w:color w:val="auto"/>
                <w:sz w:val="24"/>
                <w:highlight w:val="none"/>
                <w:lang w:val="en-US" w:eastAsia="zh-CN"/>
              </w:rPr>
              <w:t>措施</w:t>
            </w:r>
            <w:r>
              <w:rPr>
                <w:rFonts w:hint="eastAsia" w:ascii="宋体" w:hAnsi="宋体" w:eastAsia="宋体" w:cs="宋体"/>
                <w:bCs/>
                <w:color w:val="auto"/>
                <w:sz w:val="24"/>
                <w:highlight w:val="none"/>
              </w:rPr>
              <w:t>、</w:t>
            </w:r>
            <w:r>
              <w:rPr>
                <w:rFonts w:hint="eastAsia" w:hAnsi="宋体" w:cs="宋体"/>
                <w:bCs/>
                <w:color w:val="auto"/>
                <w:sz w:val="24"/>
                <w:highlight w:val="none"/>
                <w:lang w:eastAsia="zh-CN"/>
              </w:rPr>
              <w:t>调试方案、</w:t>
            </w:r>
            <w:r>
              <w:rPr>
                <w:rFonts w:hint="eastAsia" w:ascii="宋体" w:hAnsi="宋体" w:eastAsia="宋体" w:cs="宋体"/>
                <w:bCs/>
                <w:color w:val="auto"/>
                <w:sz w:val="24"/>
                <w:highlight w:val="none"/>
              </w:rPr>
              <w:t>验收方案</w:t>
            </w:r>
            <w:r>
              <w:rPr>
                <w:rFonts w:hint="eastAsia" w:ascii="宋体" w:hAnsi="宋体" w:eastAsia="宋体" w:cs="宋体"/>
                <w:bCs/>
                <w:color w:val="auto"/>
                <w:sz w:val="24"/>
                <w:highlight w:val="none"/>
                <w:lang w:val="en-US" w:eastAsia="zh-CN"/>
              </w:rPr>
              <w:t>等方面</w:t>
            </w:r>
            <w:r>
              <w:rPr>
                <w:rFonts w:hint="eastAsia" w:hAnsi="宋体" w:cs="宋体"/>
                <w:bCs/>
                <w:color w:val="auto"/>
                <w:sz w:val="24"/>
                <w:highlight w:val="none"/>
                <w:lang w:eastAsia="zh-CN"/>
              </w:rPr>
              <w:t>等完整、可行能满足采购人需求的</w:t>
            </w:r>
            <w:r>
              <w:rPr>
                <w:rFonts w:hint="eastAsia" w:hAnsi="宋体"/>
                <w:bCs/>
                <w:color w:val="auto"/>
                <w:sz w:val="24"/>
                <w:highlight w:val="none"/>
                <w:lang w:val="ja-JP" w:eastAsia="ja-JP"/>
              </w:rPr>
              <w:t>最高得</w:t>
            </w:r>
            <w:r>
              <w:rPr>
                <w:rFonts w:hint="eastAsia" w:hAnsi="宋体"/>
                <w:bCs/>
                <w:color w:val="auto"/>
                <w:sz w:val="24"/>
                <w:highlight w:val="none"/>
                <w:lang w:val="en-US" w:eastAsia="zh-CN"/>
              </w:rPr>
              <w:t>5</w:t>
            </w:r>
            <w:r>
              <w:rPr>
                <w:rFonts w:hint="eastAsia" w:hAnsi="宋体"/>
                <w:bCs/>
                <w:color w:val="auto"/>
                <w:sz w:val="24"/>
                <w:highlight w:val="none"/>
                <w:lang w:val="ja-JP" w:eastAsia="ja-JP"/>
              </w:rPr>
              <w:t>分，每有一处弱项或不足扣1分，扣完为止</w:t>
            </w:r>
            <w:r>
              <w:rPr>
                <w:rFonts w:hint="eastAsia" w:hAnsi="宋体"/>
                <w:bCs/>
                <w:color w:val="auto"/>
                <w:sz w:val="24"/>
                <w:highlight w:val="none"/>
                <w:lang w:val="ja-JP" w:eastAsia="zh-CN"/>
              </w:rPr>
              <w:t>。</w:t>
            </w:r>
          </w:p>
          <w:p>
            <w:pPr>
              <w:topLinePunct/>
              <w:spacing w:line="360" w:lineRule="auto"/>
              <w:rPr>
                <w:rFonts w:hAnsi="宋体"/>
                <w:bCs/>
                <w:color w:val="auto"/>
                <w:sz w:val="24"/>
                <w:highlight w:val="none"/>
                <w:lang w:val="ja-JP"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exact"/>
        </w:trPr>
        <w:tc>
          <w:tcPr>
            <w:tcW w:w="1207" w:type="dxa"/>
            <w:vMerge w:val="restart"/>
            <w:vAlign w:val="center"/>
          </w:tcPr>
          <w:p>
            <w:pPr>
              <w:topLinePunct/>
              <w:spacing w:line="360" w:lineRule="auto"/>
              <w:jc w:val="center"/>
              <w:rPr>
                <w:rFonts w:hAnsi="宋体"/>
                <w:color w:val="auto"/>
                <w:sz w:val="24"/>
                <w:highlight w:val="none"/>
              </w:rPr>
            </w:pPr>
            <w:r>
              <w:rPr>
                <w:rFonts w:hint="eastAsia" w:hAnsi="宋体"/>
                <w:color w:val="auto"/>
                <w:sz w:val="24"/>
                <w:highlight w:val="none"/>
              </w:rPr>
              <w:t>商务部分（</w:t>
            </w:r>
            <w:r>
              <w:rPr>
                <w:rFonts w:hint="eastAsia" w:hAnsi="宋体"/>
                <w:color w:val="auto"/>
                <w:sz w:val="24"/>
                <w:highlight w:val="none"/>
                <w:lang w:val="en-US" w:eastAsia="zh-CN"/>
              </w:rPr>
              <w:t>20</w:t>
            </w:r>
            <w:r>
              <w:rPr>
                <w:rFonts w:hint="eastAsia" w:hAnsi="宋体"/>
                <w:color w:val="auto"/>
                <w:sz w:val="24"/>
                <w:highlight w:val="none"/>
              </w:rPr>
              <w:t>分）</w:t>
            </w:r>
          </w:p>
        </w:tc>
        <w:tc>
          <w:tcPr>
            <w:tcW w:w="1440" w:type="dxa"/>
            <w:vAlign w:val="center"/>
          </w:tcPr>
          <w:p>
            <w:pPr>
              <w:jc w:val="center"/>
              <w:rPr>
                <w:rFonts w:hint="eastAsia" w:ascii="宋体" w:hAnsi="宋体" w:eastAsia="宋体" w:cs="宋体"/>
                <w:bCs/>
                <w:color w:val="auto"/>
                <w:sz w:val="24"/>
                <w:highlight w:val="none"/>
                <w:lang w:eastAsia="zh-CN"/>
              </w:rPr>
            </w:pPr>
            <w:r>
              <w:rPr>
                <w:rFonts w:hint="eastAsia" w:hAnsi="宋体" w:cs="宋体"/>
                <w:bCs/>
                <w:color w:val="auto"/>
                <w:sz w:val="24"/>
                <w:highlight w:val="none"/>
                <w:lang w:eastAsia="zh-CN"/>
              </w:rPr>
              <w:t>体系认证</w:t>
            </w:r>
          </w:p>
        </w:tc>
        <w:tc>
          <w:tcPr>
            <w:tcW w:w="820" w:type="dxa"/>
            <w:vAlign w:val="center"/>
          </w:tcPr>
          <w:p>
            <w:pPr>
              <w:jc w:val="center"/>
              <w:rPr>
                <w:rFonts w:hint="eastAsia" w:hAnsi="宋体" w:eastAsia="宋体"/>
                <w:color w:val="auto"/>
                <w:sz w:val="24"/>
                <w:highlight w:val="none"/>
                <w:lang w:val="en-US" w:eastAsia="zh-CN"/>
              </w:rPr>
            </w:pPr>
            <w:r>
              <w:rPr>
                <w:rFonts w:hint="eastAsia" w:hAnsi="宋体"/>
                <w:color w:val="auto"/>
                <w:sz w:val="24"/>
                <w:highlight w:val="none"/>
                <w:lang w:val="en-US" w:eastAsia="zh-CN"/>
              </w:rPr>
              <w:t>5分</w:t>
            </w:r>
          </w:p>
        </w:tc>
        <w:tc>
          <w:tcPr>
            <w:tcW w:w="6137" w:type="dxa"/>
            <w:vAlign w:val="center"/>
          </w:tcPr>
          <w:p>
            <w:pPr>
              <w:topLinePunct/>
              <w:spacing w:line="360" w:lineRule="auto"/>
              <w:rPr>
                <w:rFonts w:hint="eastAsia" w:hAnsi="宋体"/>
                <w:bCs/>
                <w:color w:val="auto"/>
                <w:sz w:val="24"/>
                <w:highlight w:val="none"/>
                <w:lang w:val="en-US" w:eastAsia="zh-CN"/>
              </w:rPr>
            </w:pPr>
            <w:r>
              <w:rPr>
                <w:rFonts w:hint="eastAsia" w:hAnsi="宋体"/>
                <w:bCs/>
                <w:color w:val="auto"/>
                <w:sz w:val="24"/>
                <w:highlight w:val="none"/>
                <w:lang w:val="ja-JP" w:eastAsia="zh-CN"/>
              </w:rPr>
              <w:t>供应商具有</w:t>
            </w:r>
            <w:r>
              <w:rPr>
                <w:rFonts w:hint="eastAsia" w:hAnsi="宋体"/>
                <w:bCs/>
                <w:color w:val="auto"/>
                <w:sz w:val="24"/>
                <w:highlight w:val="none"/>
                <w:lang w:val="en-US" w:eastAsia="zh-CN"/>
              </w:rPr>
              <w:t>有效期内的质量管理体系认证、环境管理体系认证、职业健康安全管理体系认证、信息技术服务管理体系认证、信息安全管理体系认证证书，以上认证证书每具备一个得1分，本项最多得5分。</w:t>
            </w:r>
          </w:p>
          <w:p>
            <w:pPr>
              <w:topLinePunct/>
              <w:spacing w:line="360" w:lineRule="auto"/>
              <w:rPr>
                <w:rFonts w:hint="default" w:hAnsi="宋体"/>
                <w:bCs/>
                <w:color w:val="auto"/>
                <w:sz w:val="24"/>
                <w:highlight w:val="none"/>
                <w:lang w:val="en-US" w:eastAsia="zh-CN"/>
              </w:rPr>
            </w:pPr>
            <w:r>
              <w:rPr>
                <w:rFonts w:hint="eastAsia" w:hAnsi="宋体"/>
                <w:bCs/>
                <w:color w:val="auto"/>
                <w:sz w:val="24"/>
                <w:highlight w:val="none"/>
                <w:lang w:val="en-US" w:eastAsia="zh-CN"/>
              </w:rPr>
              <w:t>须提供有效期内的证书原件，否则不得分。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exact"/>
        </w:trPr>
        <w:tc>
          <w:tcPr>
            <w:tcW w:w="1207" w:type="dxa"/>
            <w:vMerge w:val="continue"/>
            <w:vAlign w:val="center"/>
          </w:tcPr>
          <w:p>
            <w:pPr>
              <w:topLinePunct/>
              <w:spacing w:line="360" w:lineRule="auto"/>
              <w:jc w:val="center"/>
              <w:rPr>
                <w:rFonts w:hAnsi="宋体"/>
                <w:color w:val="auto"/>
                <w:sz w:val="24"/>
                <w:highlight w:val="none"/>
              </w:rPr>
            </w:pPr>
          </w:p>
        </w:tc>
        <w:tc>
          <w:tcPr>
            <w:tcW w:w="1440" w:type="dxa"/>
            <w:vAlign w:val="center"/>
          </w:tcPr>
          <w:p>
            <w:pPr>
              <w:topLinePunct/>
              <w:spacing w:line="360" w:lineRule="auto"/>
              <w:jc w:val="center"/>
              <w:rPr>
                <w:rFonts w:hAnsi="宋体"/>
                <w:color w:val="auto"/>
                <w:sz w:val="24"/>
                <w:highlight w:val="none"/>
              </w:rPr>
            </w:pPr>
            <w:r>
              <w:rPr>
                <w:rFonts w:hint="eastAsia" w:hAnsi="宋体"/>
                <w:color w:val="auto"/>
                <w:sz w:val="24"/>
                <w:highlight w:val="none"/>
              </w:rPr>
              <w:t>售后服务保障</w:t>
            </w:r>
          </w:p>
        </w:tc>
        <w:tc>
          <w:tcPr>
            <w:tcW w:w="820" w:type="dxa"/>
            <w:vAlign w:val="center"/>
          </w:tcPr>
          <w:p>
            <w:pPr>
              <w:topLinePunct/>
              <w:spacing w:line="360" w:lineRule="auto"/>
              <w:jc w:val="center"/>
              <w:rPr>
                <w:rFonts w:hAnsi="宋体"/>
                <w:color w:val="auto"/>
                <w:sz w:val="24"/>
                <w:highlight w:val="none"/>
              </w:rPr>
            </w:pPr>
            <w:r>
              <w:rPr>
                <w:rFonts w:hint="eastAsia" w:hAnsi="宋体"/>
                <w:color w:val="auto"/>
                <w:sz w:val="24"/>
                <w:highlight w:val="none"/>
              </w:rPr>
              <w:t>1</w:t>
            </w:r>
            <w:r>
              <w:rPr>
                <w:rFonts w:hint="eastAsia" w:hAnsi="宋体"/>
                <w:color w:val="auto"/>
                <w:sz w:val="24"/>
                <w:highlight w:val="none"/>
                <w:lang w:val="en-US" w:eastAsia="zh-CN"/>
              </w:rPr>
              <w:t>2</w:t>
            </w:r>
            <w:r>
              <w:rPr>
                <w:rFonts w:hint="eastAsia" w:hAnsi="宋体"/>
                <w:color w:val="auto"/>
                <w:sz w:val="24"/>
                <w:highlight w:val="none"/>
              </w:rPr>
              <w:t>分</w:t>
            </w:r>
          </w:p>
        </w:tc>
        <w:tc>
          <w:tcPr>
            <w:tcW w:w="6137" w:type="dxa"/>
          </w:tcPr>
          <w:p>
            <w:pPr>
              <w:topLinePunct/>
              <w:spacing w:line="360" w:lineRule="auto"/>
              <w:rPr>
                <w:rFonts w:hint="eastAsia" w:hAnsi="宋体" w:eastAsia="宋体"/>
                <w:bCs/>
                <w:color w:val="auto"/>
                <w:sz w:val="24"/>
                <w:highlight w:val="none"/>
                <w:lang w:eastAsia="zh-CN"/>
              </w:rPr>
            </w:pPr>
            <w:r>
              <w:rPr>
                <w:rFonts w:hint="eastAsia" w:hAnsi="宋体"/>
                <w:bCs/>
                <w:color w:val="auto"/>
                <w:sz w:val="24"/>
                <w:highlight w:val="none"/>
              </w:rPr>
              <w:t>1、</w:t>
            </w:r>
            <w:r>
              <w:rPr>
                <w:rFonts w:hint="eastAsia" w:hAnsi="宋体"/>
                <w:bCs/>
                <w:color w:val="auto"/>
                <w:sz w:val="24"/>
                <w:highlight w:val="none"/>
                <w:lang w:val="en-US" w:eastAsia="zh-CN"/>
              </w:rPr>
              <w:t>根据</w:t>
            </w:r>
            <w:r>
              <w:rPr>
                <w:rFonts w:hint="eastAsia" w:hAnsi="宋体"/>
                <w:bCs/>
                <w:color w:val="auto"/>
                <w:sz w:val="24"/>
                <w:highlight w:val="none"/>
              </w:rPr>
              <w:t>供应商提供的</w:t>
            </w:r>
            <w:r>
              <w:rPr>
                <w:rFonts w:hint="eastAsia" w:hAnsi="宋体"/>
                <w:bCs/>
                <w:color w:val="auto"/>
                <w:sz w:val="24"/>
                <w:highlight w:val="none"/>
                <w:lang w:val="en-US" w:eastAsia="zh-CN"/>
              </w:rPr>
              <w:t>服务方案，包括</w:t>
            </w:r>
            <w:r>
              <w:rPr>
                <w:rFonts w:hint="eastAsia" w:hAnsi="宋体"/>
                <w:bCs/>
                <w:color w:val="auto"/>
                <w:sz w:val="24"/>
                <w:highlight w:val="none"/>
              </w:rPr>
              <w:t>服务保障体系、技术服务力量、</w:t>
            </w:r>
            <w:r>
              <w:rPr>
                <w:rFonts w:hint="eastAsia" w:hAnsi="宋体"/>
                <w:bCs/>
                <w:color w:val="auto"/>
                <w:sz w:val="24"/>
                <w:highlight w:val="none"/>
                <w:lang w:val="en-US" w:eastAsia="zh-CN"/>
              </w:rPr>
              <w:t>服务承诺、</w:t>
            </w:r>
            <w:r>
              <w:rPr>
                <w:rFonts w:hint="eastAsia" w:hAnsi="宋体"/>
                <w:bCs/>
                <w:color w:val="auto"/>
                <w:sz w:val="24"/>
                <w:highlight w:val="none"/>
              </w:rPr>
              <w:t>服务内容、响应时间</w:t>
            </w:r>
            <w:r>
              <w:rPr>
                <w:rFonts w:hint="eastAsia" w:hAnsi="宋体"/>
                <w:bCs/>
                <w:color w:val="auto"/>
                <w:sz w:val="24"/>
                <w:highlight w:val="none"/>
                <w:lang w:eastAsia="zh-CN"/>
              </w:rPr>
              <w:t>、</w:t>
            </w:r>
            <w:r>
              <w:rPr>
                <w:rFonts w:hint="eastAsia" w:ascii="宋体" w:hAnsi="宋体"/>
                <w:color w:val="auto"/>
                <w:sz w:val="24"/>
                <w:highlight w:val="none"/>
                <w:lang w:val="zh-CN"/>
              </w:rPr>
              <w:t>应急预案措施</w:t>
            </w:r>
            <w:r>
              <w:rPr>
                <w:rFonts w:hint="eastAsia" w:hAnsi="宋体"/>
                <w:bCs/>
                <w:color w:val="auto"/>
                <w:sz w:val="24"/>
                <w:highlight w:val="none"/>
              </w:rPr>
              <w:t>等内容</w:t>
            </w:r>
            <w:r>
              <w:rPr>
                <w:rFonts w:hint="eastAsia" w:hAnsi="宋体"/>
                <w:bCs/>
                <w:color w:val="auto"/>
                <w:sz w:val="24"/>
                <w:highlight w:val="none"/>
                <w:lang w:val="ja-JP"/>
              </w:rPr>
              <w:t>进行综合评分</w:t>
            </w:r>
            <w:r>
              <w:rPr>
                <w:rFonts w:hint="eastAsia" w:hAnsi="宋体"/>
                <w:bCs/>
                <w:color w:val="auto"/>
                <w:sz w:val="24"/>
                <w:highlight w:val="none"/>
                <w:lang w:val="ja-JP" w:eastAsia="zh-CN"/>
              </w:rPr>
              <w:t>，</w:t>
            </w:r>
            <w:r>
              <w:rPr>
                <w:rFonts w:hint="eastAsia" w:hAnsi="宋体"/>
                <w:bCs/>
                <w:color w:val="auto"/>
                <w:sz w:val="24"/>
                <w:highlight w:val="none"/>
              </w:rPr>
              <w:t>最高得</w:t>
            </w:r>
            <w:r>
              <w:rPr>
                <w:rFonts w:hint="eastAsia" w:hAnsi="宋体"/>
                <w:bCs/>
                <w:color w:val="auto"/>
                <w:sz w:val="24"/>
                <w:highlight w:val="none"/>
                <w:lang w:val="en-US" w:eastAsia="zh-CN"/>
              </w:rPr>
              <w:t>8</w:t>
            </w:r>
            <w:r>
              <w:rPr>
                <w:rFonts w:hint="eastAsia" w:hAnsi="宋体"/>
                <w:bCs/>
                <w:color w:val="auto"/>
                <w:sz w:val="24"/>
                <w:highlight w:val="none"/>
              </w:rPr>
              <w:t>分</w:t>
            </w:r>
            <w:r>
              <w:rPr>
                <w:rFonts w:hint="eastAsia" w:hAnsi="宋体"/>
                <w:bCs/>
                <w:color w:val="auto"/>
                <w:sz w:val="24"/>
                <w:highlight w:val="none"/>
                <w:lang w:val="en-US" w:eastAsia="zh-CN"/>
              </w:rPr>
              <w:t>；</w:t>
            </w:r>
            <w:r>
              <w:rPr>
                <w:rStyle w:val="134"/>
                <w:rFonts w:hint="eastAsia" w:ascii="宋体" w:hAnsi="宋体" w:eastAsia="宋体" w:cs="宋体"/>
                <w:b w:val="0"/>
                <w:bCs w:val="0"/>
                <w:color w:val="auto"/>
                <w:sz w:val="24"/>
                <w:highlight w:val="none"/>
                <w:lang w:eastAsia="zh-CN"/>
              </w:rPr>
              <w:t>每有一处弱项</w:t>
            </w:r>
            <w:r>
              <w:rPr>
                <w:rStyle w:val="134"/>
                <w:rFonts w:hint="eastAsia" w:ascii="宋体" w:hAnsi="宋体" w:cs="宋体"/>
                <w:b w:val="0"/>
                <w:bCs w:val="0"/>
                <w:color w:val="auto"/>
                <w:sz w:val="24"/>
                <w:highlight w:val="none"/>
                <w:lang w:eastAsia="zh-CN"/>
              </w:rPr>
              <w:t>或不足</w:t>
            </w:r>
            <w:r>
              <w:rPr>
                <w:rStyle w:val="134"/>
                <w:rFonts w:hint="eastAsia" w:ascii="宋体" w:hAnsi="宋体" w:eastAsia="宋体" w:cs="宋体"/>
                <w:b w:val="0"/>
                <w:bCs w:val="0"/>
                <w:color w:val="auto"/>
                <w:sz w:val="24"/>
                <w:highlight w:val="none"/>
                <w:lang w:eastAsia="zh-CN"/>
              </w:rPr>
              <w:t>扣</w:t>
            </w:r>
            <w:r>
              <w:rPr>
                <w:rStyle w:val="134"/>
                <w:rFonts w:hint="eastAsia" w:ascii="宋体" w:hAnsi="宋体" w:eastAsia="宋体" w:cs="宋体"/>
                <w:b w:val="0"/>
                <w:bCs w:val="0"/>
                <w:color w:val="auto"/>
                <w:sz w:val="24"/>
                <w:highlight w:val="none"/>
                <w:lang w:val="en-US" w:eastAsia="zh-CN"/>
              </w:rPr>
              <w:t>1分</w:t>
            </w:r>
            <w:r>
              <w:rPr>
                <w:rFonts w:hint="eastAsia" w:hAnsi="宋体"/>
                <w:bCs/>
                <w:color w:val="auto"/>
                <w:sz w:val="24"/>
                <w:highlight w:val="none"/>
              </w:rPr>
              <w:t>，扣完为止</w:t>
            </w:r>
            <w:r>
              <w:rPr>
                <w:rFonts w:hint="eastAsia" w:hAnsi="宋体"/>
                <w:bCs/>
                <w:color w:val="auto"/>
                <w:sz w:val="24"/>
                <w:highlight w:val="none"/>
                <w:lang w:eastAsia="zh-CN"/>
              </w:rPr>
              <w:t>；</w:t>
            </w:r>
          </w:p>
          <w:p>
            <w:pPr>
              <w:topLinePunct/>
              <w:spacing w:line="360" w:lineRule="auto"/>
              <w:rPr>
                <w:rFonts w:hAnsi="宋体"/>
                <w:color w:val="auto"/>
                <w:sz w:val="24"/>
                <w:highlight w:val="none"/>
                <w:lang w:val="en-GB"/>
              </w:rPr>
            </w:pPr>
            <w:r>
              <w:rPr>
                <w:rFonts w:hint="eastAsia" w:hAnsi="宋体"/>
                <w:bCs/>
                <w:color w:val="auto"/>
                <w:sz w:val="24"/>
                <w:highlight w:val="none"/>
              </w:rPr>
              <w:t>2、</w:t>
            </w:r>
            <w:r>
              <w:rPr>
                <w:rFonts w:hint="eastAsia" w:hAnsi="宋体"/>
                <w:bCs/>
                <w:color w:val="auto"/>
                <w:sz w:val="24"/>
                <w:highlight w:val="none"/>
                <w:lang w:val="en-US" w:eastAsia="zh-CN"/>
              </w:rPr>
              <w:t>根据</w:t>
            </w:r>
            <w:r>
              <w:rPr>
                <w:rFonts w:hint="eastAsia" w:hAnsi="宋体"/>
                <w:bCs/>
                <w:color w:val="auto"/>
                <w:sz w:val="24"/>
                <w:highlight w:val="none"/>
              </w:rPr>
              <w:t>供应商提供的</w:t>
            </w:r>
            <w:r>
              <w:rPr>
                <w:rFonts w:hint="eastAsia" w:hAnsi="宋体"/>
                <w:bCs/>
                <w:color w:val="auto"/>
                <w:sz w:val="24"/>
                <w:highlight w:val="none"/>
                <w:lang w:val="en-US" w:eastAsia="zh-CN"/>
              </w:rPr>
              <w:t>人员培训方案，</w:t>
            </w:r>
            <w:r>
              <w:rPr>
                <w:rStyle w:val="134"/>
                <w:rFonts w:hint="eastAsia" w:ascii="宋体" w:hAnsi="宋体" w:cs="宋体"/>
                <w:b w:val="0"/>
                <w:bCs w:val="0"/>
                <w:color w:val="auto"/>
                <w:sz w:val="24"/>
                <w:highlight w:val="none"/>
                <w:lang w:val="en-US" w:eastAsia="zh-CN"/>
              </w:rPr>
              <w:t>从</w:t>
            </w:r>
            <w:r>
              <w:rPr>
                <w:rStyle w:val="134"/>
                <w:rFonts w:hint="eastAsia" w:ascii="宋体" w:hAnsi="宋体" w:eastAsia="宋体" w:cs="宋体"/>
                <w:b w:val="0"/>
                <w:bCs w:val="0"/>
                <w:color w:val="auto"/>
                <w:sz w:val="24"/>
                <w:highlight w:val="none"/>
                <w:lang w:val="en-US" w:eastAsia="zh-CN"/>
              </w:rPr>
              <w:t>人员培训方案符合本项目特点</w:t>
            </w:r>
            <w:r>
              <w:rPr>
                <w:rStyle w:val="134"/>
                <w:rFonts w:hint="eastAsia" w:ascii="宋体" w:hAnsi="宋体" w:cs="宋体"/>
                <w:b w:val="0"/>
                <w:bCs w:val="0"/>
                <w:color w:val="auto"/>
                <w:sz w:val="24"/>
                <w:highlight w:val="none"/>
                <w:lang w:val="en-US" w:eastAsia="zh-CN"/>
              </w:rPr>
              <w:t>、</w:t>
            </w:r>
            <w:r>
              <w:rPr>
                <w:rStyle w:val="134"/>
                <w:rFonts w:hint="eastAsia" w:ascii="宋体" w:hAnsi="宋体" w:eastAsia="宋体" w:cs="宋体"/>
                <w:b w:val="0"/>
                <w:bCs w:val="0"/>
                <w:color w:val="auto"/>
                <w:sz w:val="24"/>
                <w:highlight w:val="none"/>
                <w:lang w:val="en-US" w:eastAsia="zh-CN"/>
              </w:rPr>
              <w:t>能保证使用单位能熟练操作和正常使用</w:t>
            </w:r>
            <w:r>
              <w:rPr>
                <w:rStyle w:val="134"/>
                <w:rFonts w:hint="eastAsia" w:ascii="宋体" w:hAnsi="宋体" w:cs="宋体"/>
                <w:b w:val="0"/>
                <w:bCs w:val="0"/>
                <w:color w:val="auto"/>
                <w:sz w:val="24"/>
                <w:highlight w:val="none"/>
                <w:lang w:val="en-US" w:eastAsia="zh-CN"/>
              </w:rPr>
              <w:t>等方面进行综合评审</w:t>
            </w:r>
            <w:r>
              <w:rPr>
                <w:rStyle w:val="134"/>
                <w:rFonts w:hint="eastAsia" w:ascii="宋体" w:hAnsi="宋体" w:eastAsia="宋体" w:cs="宋体"/>
                <w:b w:val="0"/>
                <w:bCs w:val="0"/>
                <w:color w:val="auto"/>
                <w:sz w:val="24"/>
                <w:highlight w:val="none"/>
                <w:lang w:val="en-US" w:eastAsia="zh-CN"/>
              </w:rPr>
              <w:t>，最高</w:t>
            </w:r>
            <w:r>
              <w:rPr>
                <w:rFonts w:hint="eastAsia" w:hAnsi="宋体"/>
                <w:bCs/>
                <w:color w:val="auto"/>
                <w:sz w:val="24"/>
                <w:highlight w:val="none"/>
                <w:lang w:val="en-US" w:eastAsia="zh-CN"/>
              </w:rPr>
              <w:t>得4分</w:t>
            </w:r>
            <w:r>
              <w:rPr>
                <w:rStyle w:val="134"/>
                <w:rFonts w:hint="eastAsia" w:ascii="宋体" w:hAnsi="宋体" w:cs="宋体"/>
                <w:b w:val="0"/>
                <w:bCs w:val="0"/>
                <w:color w:val="auto"/>
                <w:sz w:val="24"/>
                <w:highlight w:val="none"/>
                <w:lang w:val="en-US" w:eastAsia="zh-CN"/>
              </w:rPr>
              <w:t>；</w:t>
            </w:r>
            <w:r>
              <w:rPr>
                <w:rStyle w:val="134"/>
                <w:rFonts w:hint="eastAsia" w:ascii="宋体" w:hAnsi="宋体" w:eastAsia="宋体" w:cs="宋体"/>
                <w:b w:val="0"/>
                <w:bCs w:val="0"/>
                <w:color w:val="auto"/>
                <w:sz w:val="24"/>
                <w:highlight w:val="none"/>
                <w:lang w:val="en-US" w:eastAsia="zh-CN"/>
              </w:rPr>
              <w:t>每有一处弱项或不足扣</w:t>
            </w:r>
            <w:r>
              <w:rPr>
                <w:rStyle w:val="134"/>
                <w:rFonts w:hint="eastAsia" w:ascii="宋体" w:hAnsi="宋体" w:cs="宋体"/>
                <w:b w:val="0"/>
                <w:bCs w:val="0"/>
                <w:color w:val="auto"/>
                <w:sz w:val="24"/>
                <w:highlight w:val="none"/>
                <w:lang w:val="en-US" w:eastAsia="zh-CN"/>
              </w:rPr>
              <w:t>1</w:t>
            </w:r>
            <w:r>
              <w:rPr>
                <w:rStyle w:val="134"/>
                <w:rFonts w:hint="eastAsia" w:ascii="宋体" w:hAnsi="宋体" w:eastAsia="宋体" w:cs="宋体"/>
                <w:b w:val="0"/>
                <w:bCs w:val="0"/>
                <w:color w:val="auto"/>
                <w:sz w:val="24"/>
                <w:highlight w:val="none"/>
                <w:lang w:val="en-US" w:eastAsia="zh-CN"/>
              </w:rPr>
              <w:t>分，</w:t>
            </w:r>
            <w:r>
              <w:rPr>
                <w:rFonts w:hint="eastAsia" w:ascii="宋体" w:hAnsi="宋体" w:eastAsia="宋体" w:cs="宋体"/>
                <w:bCs/>
                <w:color w:val="auto"/>
                <w:sz w:val="24"/>
                <w:highlight w:val="none"/>
                <w:lang w:val="en-US" w:eastAsia="zh-CN"/>
              </w:rPr>
              <w:t>减完为止</w:t>
            </w:r>
            <w:r>
              <w:rPr>
                <w:rFonts w:hint="eastAsia" w:ascii="宋体" w:hAnsi="宋体" w:cs="宋体"/>
                <w:bCs/>
                <w:color w:val="auto"/>
                <w:sz w:val="24"/>
                <w:highlight w:val="none"/>
                <w:lang w:val="en-US" w:eastAsia="zh-CN"/>
              </w:rPr>
              <w:t>，</w:t>
            </w:r>
            <w:r>
              <w:rPr>
                <w:rStyle w:val="134"/>
                <w:rFonts w:hint="eastAsia" w:ascii="宋体" w:hAnsi="宋体" w:eastAsia="宋体" w:cs="宋体"/>
                <w:b w:val="0"/>
                <w:bCs w:val="0"/>
                <w:color w:val="auto"/>
                <w:sz w:val="24"/>
                <w:highlight w:val="none"/>
                <w:lang w:val="en-US" w:eastAsia="zh-CN"/>
              </w:rPr>
              <w:t>无此项不得分。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1207" w:type="dxa"/>
            <w:vMerge w:val="continue"/>
            <w:vAlign w:val="center"/>
          </w:tcPr>
          <w:p>
            <w:pPr>
              <w:topLinePunct/>
              <w:spacing w:line="360" w:lineRule="auto"/>
              <w:jc w:val="center"/>
              <w:rPr>
                <w:rFonts w:hint="eastAsia" w:hAnsi="宋体"/>
                <w:color w:val="auto"/>
                <w:sz w:val="24"/>
                <w:highlight w:val="none"/>
              </w:rPr>
            </w:pPr>
          </w:p>
        </w:tc>
        <w:tc>
          <w:tcPr>
            <w:tcW w:w="1440" w:type="dxa"/>
            <w:vAlign w:val="center"/>
          </w:tcPr>
          <w:p>
            <w:pPr>
              <w:spacing w:line="240" w:lineRule="auto"/>
              <w:jc w:val="center"/>
              <w:rPr>
                <w:rFonts w:hint="eastAsia" w:ascii="宋体" w:hAnsi="宋体" w:cs="宋体"/>
                <w:b w:val="0"/>
                <w:bCs w:val="0"/>
                <w:color w:val="auto"/>
                <w:sz w:val="24"/>
                <w:szCs w:val="24"/>
                <w:lang w:val="en-US" w:eastAsia="zh-CN"/>
              </w:rPr>
            </w:pPr>
            <w:r>
              <w:rPr>
                <w:rFonts w:hint="eastAsia" w:cs="宋体"/>
                <w:b w:val="0"/>
                <w:bCs w:val="0"/>
                <w:color w:val="auto"/>
                <w:sz w:val="24"/>
                <w:szCs w:val="24"/>
                <w:highlight w:val="none"/>
                <w:vertAlign w:val="baseline"/>
                <w:lang w:val="en-US" w:eastAsia="zh-CN"/>
              </w:rPr>
              <w:t>优惠条款或合理化建议</w:t>
            </w:r>
          </w:p>
        </w:tc>
        <w:tc>
          <w:tcPr>
            <w:tcW w:w="820" w:type="dxa"/>
            <w:vAlign w:val="center"/>
          </w:tcPr>
          <w:p>
            <w:pPr>
              <w:spacing w:line="240" w:lineRule="auto"/>
              <w:jc w:val="center"/>
              <w:rPr>
                <w:rFonts w:hint="eastAsia" w:ascii="宋体" w:hAnsi="宋体" w:cs="宋体"/>
                <w:b w:val="0"/>
                <w:bCs w:val="0"/>
                <w:color w:val="auto"/>
                <w:sz w:val="24"/>
                <w:szCs w:val="24"/>
                <w:lang w:val="en-US" w:eastAsia="zh-CN"/>
              </w:rPr>
            </w:pPr>
            <w:r>
              <w:rPr>
                <w:rFonts w:hint="eastAsia" w:cs="宋体"/>
                <w:b w:val="0"/>
                <w:bCs w:val="0"/>
                <w:color w:val="auto"/>
                <w:sz w:val="24"/>
                <w:szCs w:val="24"/>
                <w:highlight w:val="none"/>
                <w:vertAlign w:val="baseline"/>
                <w:lang w:val="en-US" w:eastAsia="zh-CN"/>
              </w:rPr>
              <w:t>3分</w:t>
            </w:r>
          </w:p>
        </w:tc>
        <w:tc>
          <w:tcPr>
            <w:tcW w:w="6137" w:type="dxa"/>
            <w:tcBorders>
              <w:bottom w:val="single" w:color="auto" w:sz="4" w:space="0"/>
            </w:tcBorders>
            <w:vAlign w:val="center"/>
          </w:tcPr>
          <w:p>
            <w:pPr>
              <w:topLinePunct/>
              <w:spacing w:line="360" w:lineRule="auto"/>
              <w:rPr>
                <w:rFonts w:hint="eastAsia" w:hAnsi="宋体"/>
                <w:bCs/>
                <w:color w:val="auto"/>
                <w:sz w:val="24"/>
                <w:highlight w:val="none"/>
                <w:lang w:val="ja-JP" w:eastAsia="zh-CN"/>
              </w:rPr>
            </w:pPr>
            <w:r>
              <w:rPr>
                <w:rFonts w:hint="eastAsia" w:hAnsi="宋体"/>
                <w:bCs/>
                <w:color w:val="auto"/>
                <w:sz w:val="24"/>
                <w:highlight w:val="none"/>
                <w:lang w:val="ja-JP" w:eastAsia="zh-CN"/>
              </w:rPr>
              <w:t>每提供一条磋商文件要求之外的其他优惠</w:t>
            </w:r>
            <w:r>
              <w:rPr>
                <w:rFonts w:hint="eastAsia" w:hAnsi="宋体"/>
                <w:bCs/>
                <w:color w:val="auto"/>
                <w:sz w:val="24"/>
                <w:highlight w:val="none"/>
                <w:lang w:val="en-US" w:eastAsia="zh-CN"/>
              </w:rPr>
              <w:t>条款</w:t>
            </w:r>
            <w:r>
              <w:rPr>
                <w:rFonts w:hint="eastAsia" w:hAnsi="宋体"/>
                <w:bCs/>
                <w:color w:val="auto"/>
                <w:sz w:val="24"/>
                <w:highlight w:val="none"/>
                <w:lang w:val="ja-JP" w:eastAsia="zh-CN"/>
              </w:rPr>
              <w:t>或</w:t>
            </w:r>
            <w:r>
              <w:rPr>
                <w:rFonts w:hint="eastAsia" w:hAnsi="宋体"/>
                <w:bCs/>
                <w:color w:val="auto"/>
                <w:sz w:val="24"/>
                <w:highlight w:val="none"/>
                <w:lang w:val="en-US" w:eastAsia="zh-CN"/>
              </w:rPr>
              <w:t>合理化建议，</w:t>
            </w:r>
            <w:r>
              <w:rPr>
                <w:rFonts w:hint="eastAsia" w:hAnsi="宋体"/>
                <w:bCs/>
                <w:color w:val="auto"/>
                <w:sz w:val="24"/>
                <w:highlight w:val="none"/>
                <w:lang w:val="ja-JP" w:eastAsia="zh-CN"/>
              </w:rPr>
              <w:t>经专家评定合理的得1分，最多得</w:t>
            </w:r>
            <w:r>
              <w:rPr>
                <w:rFonts w:hint="eastAsia" w:hAnsi="宋体"/>
                <w:bCs/>
                <w:color w:val="auto"/>
                <w:sz w:val="24"/>
                <w:highlight w:val="none"/>
                <w:lang w:val="en-US" w:eastAsia="zh-CN"/>
              </w:rPr>
              <w:t>3</w:t>
            </w:r>
            <w:r>
              <w:rPr>
                <w:rFonts w:hint="eastAsia" w:hAnsi="宋体"/>
                <w:bCs/>
                <w:color w:val="auto"/>
                <w:sz w:val="24"/>
                <w:highlight w:val="none"/>
                <w:lang w:val="ja-JP" w:eastAsia="zh-CN"/>
              </w:rPr>
              <w:t>分。</w:t>
            </w:r>
          </w:p>
        </w:tc>
      </w:tr>
    </w:tbl>
    <w:p>
      <w:pPr>
        <w:pStyle w:val="5"/>
        <w:spacing w:line="365" w:lineRule="auto"/>
        <w:ind w:firstLine="488" w:firstLineChars="200"/>
        <w:jc w:val="both"/>
        <w:rPr>
          <w:rFonts w:asciiTheme="minorEastAsia" w:hAnsiTheme="minorEastAsia" w:eastAsiaTheme="minorEastAsia" w:cstheme="minorEastAsia"/>
          <w:b/>
          <w:bCs/>
          <w:color w:val="auto"/>
          <w:spacing w:val="3"/>
          <w:w w:val="99"/>
          <w:sz w:val="24"/>
          <w:szCs w:val="24"/>
          <w:highlight w:val="none"/>
        </w:rPr>
      </w:pPr>
      <w:r>
        <w:rPr>
          <w:rFonts w:hint="eastAsia" w:asciiTheme="minorEastAsia" w:hAnsiTheme="minorEastAsia" w:eastAsiaTheme="minorEastAsia" w:cstheme="minorEastAsia"/>
          <w:b/>
          <w:bCs/>
          <w:color w:val="auto"/>
          <w:spacing w:val="3"/>
          <w:w w:val="99"/>
          <w:sz w:val="24"/>
          <w:szCs w:val="24"/>
          <w:highlight w:val="none"/>
        </w:rPr>
        <w:t>本项目应遵循的政府采购政策执行节能产品政府强制采购和优先采购政策（具体详见：财政部及国家发展改革委关于调整公布的节能产品政府采购清单），因此，综合评审打分时，需按以下要求计算、调整最后打分：</w:t>
      </w:r>
    </w:p>
    <w:p>
      <w:pPr>
        <w:pStyle w:val="6"/>
        <w:spacing w:line="365" w:lineRule="auto"/>
        <w:ind w:left="0"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1）在投标报价打分中，投标产品属于节能、环保产品的：若所投全部产品为节能、环保产品，在其报价得分基础上给予（报价得分×4%）的加分，若所投部分产品为节能、环保产品，在其报价得分基础上分别给予【报价得分×4%×（节能、环保产品合计报价/投标报价</w:t>
      </w:r>
      <w:r>
        <w:rPr>
          <w:rFonts w:hint="eastAsia" w:asciiTheme="minorEastAsia" w:hAnsiTheme="minorEastAsia" w:eastAsiaTheme="minorEastAsia" w:cstheme="minorEastAsia"/>
          <w:color w:val="auto"/>
          <w:spacing w:val="-118"/>
          <w:highlight w:val="none"/>
        </w:rPr>
        <w:t>）</w:t>
      </w:r>
      <w:r>
        <w:rPr>
          <w:rFonts w:hint="eastAsia" w:asciiTheme="minorEastAsia" w:hAnsiTheme="minorEastAsia" w:eastAsiaTheme="minorEastAsia" w:cstheme="minorEastAsia"/>
          <w:color w:val="auto"/>
          <w:highlight w:val="none"/>
        </w:rPr>
        <w:t>】的加分，</w:t>
      </w:r>
      <w:r>
        <w:rPr>
          <w:rFonts w:hint="eastAsia" w:asciiTheme="minorEastAsia" w:hAnsiTheme="minorEastAsia" w:eastAsiaTheme="minorEastAsia" w:cstheme="minorEastAsia"/>
          <w:b/>
          <w:bCs/>
          <w:color w:val="auto"/>
          <w:highlight w:val="none"/>
        </w:rPr>
        <w:t>须提供《节能产品政府采购品目清单》或《环境标志产品政府采购品目清单》当前页复印件或政府部门公布的网站截屏。</w:t>
      </w:r>
    </w:p>
    <w:p>
      <w:pPr>
        <w:pStyle w:val="6"/>
        <w:spacing w:line="365" w:lineRule="auto"/>
        <w:ind w:left="0" w:firstLine="488"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2）在投标报价打分中，投标产品属于自主创新产品的：若所投全部产品为自主创新</w:t>
      </w:r>
      <w:r>
        <w:rPr>
          <w:rFonts w:hint="eastAsia" w:asciiTheme="minorEastAsia" w:hAnsiTheme="minorEastAsia" w:eastAsiaTheme="minorEastAsia" w:cstheme="minorEastAsia"/>
          <w:color w:val="auto"/>
          <w:spacing w:val="5"/>
          <w:highlight w:val="none"/>
        </w:rPr>
        <w:t>产品，在其报价得分基础上给予（报价总分值×</w:t>
      </w:r>
      <w:r>
        <w:rPr>
          <w:rFonts w:hint="eastAsia" w:asciiTheme="minorEastAsia" w:hAnsiTheme="minorEastAsia" w:eastAsiaTheme="minorEastAsia" w:cstheme="minorEastAsia"/>
          <w:color w:val="auto"/>
          <w:spacing w:val="3"/>
          <w:highlight w:val="none"/>
        </w:rPr>
        <w:t>4%）</w:t>
      </w:r>
      <w:r>
        <w:rPr>
          <w:rFonts w:hint="eastAsia" w:asciiTheme="minorEastAsia" w:hAnsiTheme="minorEastAsia" w:eastAsiaTheme="minorEastAsia" w:cstheme="minorEastAsia"/>
          <w:color w:val="auto"/>
          <w:spacing w:val="5"/>
          <w:highlight w:val="none"/>
        </w:rPr>
        <w:t>的加分，若所投部分产品为自主创新产</w:t>
      </w:r>
      <w:r>
        <w:rPr>
          <w:rFonts w:hint="eastAsia" w:asciiTheme="minorEastAsia" w:hAnsiTheme="minorEastAsia" w:eastAsiaTheme="minorEastAsia" w:cstheme="minorEastAsia"/>
          <w:color w:val="auto"/>
          <w:highlight w:val="none"/>
        </w:rPr>
        <w:t>品，在其报价得分基础上分别给予【</w:t>
      </w:r>
      <w:r>
        <w:rPr>
          <w:rFonts w:hint="eastAsia" w:asciiTheme="minorEastAsia" w:hAnsiTheme="minorEastAsia" w:eastAsiaTheme="minorEastAsia" w:cstheme="minorEastAsia"/>
          <w:color w:val="auto"/>
          <w:spacing w:val="5"/>
          <w:highlight w:val="none"/>
        </w:rPr>
        <w:t>总分值</w:t>
      </w:r>
      <w:r>
        <w:rPr>
          <w:rFonts w:hint="eastAsia" w:asciiTheme="minorEastAsia" w:hAnsiTheme="minorEastAsia" w:eastAsiaTheme="minorEastAsia" w:cstheme="minorEastAsia"/>
          <w:color w:val="auto"/>
          <w:highlight w:val="none"/>
        </w:rPr>
        <w:t>×4%×（自主创新产品合计报价/投标报价</w:t>
      </w:r>
      <w:r>
        <w:rPr>
          <w:rFonts w:hint="eastAsia" w:asciiTheme="minorEastAsia" w:hAnsiTheme="minorEastAsia" w:eastAsiaTheme="minorEastAsia" w:cstheme="minorEastAsia"/>
          <w:color w:val="auto"/>
          <w:spacing w:val="-118"/>
          <w:highlight w:val="none"/>
        </w:rPr>
        <w:t>）</w:t>
      </w:r>
      <w:r>
        <w:rPr>
          <w:rFonts w:hint="eastAsia" w:asciiTheme="minorEastAsia" w:hAnsiTheme="minorEastAsia" w:eastAsiaTheme="minorEastAsia" w:cstheme="minorEastAsia"/>
          <w:color w:val="auto"/>
          <w:highlight w:val="none"/>
        </w:rPr>
        <w:t>】的加分，</w:t>
      </w:r>
      <w:r>
        <w:rPr>
          <w:rFonts w:hint="eastAsia" w:asciiTheme="minorEastAsia" w:hAnsiTheme="minorEastAsia" w:eastAsiaTheme="minorEastAsia" w:cstheme="minorEastAsia"/>
          <w:b/>
          <w:bCs/>
          <w:color w:val="auto"/>
          <w:highlight w:val="none"/>
        </w:rPr>
        <w:t>须提供《政府采购自主创新产品目录》当前页复印件或政府部门公布的网站截屏。</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3）在技术部分打分中，投标产品属于节能、环保产品的：若所投全部产品为节能、环保产品，在其技术得分基础上分别给予（技术总分值×4%）的加分，若所投部分产品为节能、</w:t>
      </w:r>
      <w:r>
        <w:rPr>
          <w:rFonts w:hint="eastAsia" w:asciiTheme="minorEastAsia" w:hAnsiTheme="minorEastAsia" w:eastAsiaTheme="minorEastAsia" w:cstheme="minorEastAsia"/>
          <w:color w:val="auto"/>
          <w:spacing w:val="1"/>
          <w:sz w:val="24"/>
          <w:szCs w:val="24"/>
          <w:highlight w:val="none"/>
        </w:rPr>
        <w:t>环保产品，在其技术得分基础上分别给予【技术</w:t>
      </w:r>
      <w:r>
        <w:rPr>
          <w:rFonts w:hint="eastAsia" w:asciiTheme="minorEastAsia" w:hAnsiTheme="minorEastAsia" w:eastAsiaTheme="minorEastAsia" w:cstheme="minorEastAsia"/>
          <w:color w:val="auto"/>
          <w:sz w:val="24"/>
          <w:szCs w:val="24"/>
          <w:highlight w:val="none"/>
        </w:rPr>
        <w:t>总分值</w:t>
      </w:r>
      <w:r>
        <w:rPr>
          <w:rFonts w:hint="eastAsia" w:asciiTheme="minorEastAsia" w:hAnsiTheme="minorEastAsia" w:eastAsiaTheme="minorEastAsia" w:cstheme="minorEastAsia"/>
          <w:color w:val="auto"/>
          <w:spacing w:val="1"/>
          <w:sz w:val="24"/>
          <w:szCs w:val="24"/>
          <w:highlight w:val="none"/>
        </w:rPr>
        <w:t>×4%×（</w:t>
      </w:r>
      <w:r>
        <w:rPr>
          <w:rFonts w:hint="eastAsia" w:asciiTheme="minorEastAsia" w:hAnsiTheme="minorEastAsia" w:eastAsiaTheme="minorEastAsia" w:cstheme="minorEastAsia"/>
          <w:color w:val="auto"/>
          <w:spacing w:val="2"/>
          <w:sz w:val="24"/>
          <w:szCs w:val="24"/>
          <w:highlight w:val="none"/>
        </w:rPr>
        <w:t>节能、环保产品合计报价/投标报价</w:t>
      </w:r>
      <w:r>
        <w:rPr>
          <w:rFonts w:hint="eastAsia" w:asciiTheme="minorEastAsia" w:hAnsiTheme="minorEastAsia" w:eastAsiaTheme="minorEastAsia" w:cstheme="minorEastAsia"/>
          <w:color w:val="auto"/>
          <w:spacing w:val="-116"/>
          <w:sz w:val="24"/>
          <w:szCs w:val="24"/>
          <w:highlight w:val="none"/>
        </w:rPr>
        <w:t>）</w:t>
      </w:r>
      <w:r>
        <w:rPr>
          <w:rFonts w:hint="eastAsia" w:asciiTheme="minorEastAsia" w:hAnsiTheme="minorEastAsia" w:eastAsiaTheme="minorEastAsia" w:cstheme="minorEastAsia"/>
          <w:color w:val="auto"/>
          <w:spacing w:val="1"/>
          <w:sz w:val="24"/>
          <w:szCs w:val="24"/>
          <w:highlight w:val="none"/>
        </w:rPr>
        <w:t>】的加分，</w:t>
      </w:r>
      <w:r>
        <w:rPr>
          <w:rFonts w:hint="eastAsia" w:asciiTheme="minorEastAsia" w:hAnsiTheme="minorEastAsia" w:eastAsiaTheme="minorEastAsia" w:cstheme="minorEastAsia"/>
          <w:b/>
          <w:bCs/>
          <w:color w:val="auto"/>
          <w:spacing w:val="1"/>
          <w:sz w:val="24"/>
          <w:szCs w:val="24"/>
          <w:highlight w:val="none"/>
        </w:rPr>
        <w:t>须提供《节能产品政府采购清单》或《环境标志产品政府采购清单》当</w:t>
      </w:r>
      <w:r>
        <w:rPr>
          <w:rFonts w:hint="eastAsia" w:asciiTheme="minorEastAsia" w:hAnsiTheme="minorEastAsia" w:eastAsiaTheme="minorEastAsia" w:cstheme="minorEastAsia"/>
          <w:b/>
          <w:bCs/>
          <w:color w:val="auto"/>
          <w:sz w:val="24"/>
          <w:szCs w:val="24"/>
          <w:highlight w:val="none"/>
        </w:rPr>
        <w:t>前页复印件或政府部门公布的网站截屏。</w:t>
      </w:r>
    </w:p>
    <w:p>
      <w:pPr>
        <w:spacing w:line="360" w:lineRule="auto"/>
        <w:ind w:firstLine="484"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4）在技术部分打分中，投标产品属于自主创新产品的：若所投全部产品为自主创新产品，在其报价得分基础上给予（报价</w:t>
      </w:r>
      <w:r>
        <w:rPr>
          <w:rFonts w:hint="eastAsia" w:asciiTheme="minorEastAsia" w:hAnsiTheme="minorEastAsia" w:eastAsiaTheme="minorEastAsia" w:cstheme="minorEastAsia"/>
          <w:color w:val="auto"/>
          <w:sz w:val="24"/>
          <w:szCs w:val="24"/>
          <w:highlight w:val="none"/>
        </w:rPr>
        <w:t>总分值</w:t>
      </w:r>
      <w:r>
        <w:rPr>
          <w:rFonts w:hint="eastAsia" w:asciiTheme="minorEastAsia" w:hAnsiTheme="minorEastAsia" w:eastAsiaTheme="minorEastAsia" w:cstheme="minorEastAsia"/>
          <w:color w:val="auto"/>
          <w:spacing w:val="1"/>
          <w:sz w:val="24"/>
          <w:szCs w:val="24"/>
          <w:highlight w:val="none"/>
        </w:rPr>
        <w:t>×4%）的加分，若所投部分产品为自主创新产品，</w:t>
      </w:r>
      <w:r>
        <w:rPr>
          <w:rFonts w:hint="eastAsia" w:asciiTheme="minorEastAsia" w:hAnsiTheme="minorEastAsia" w:eastAsiaTheme="minorEastAsia" w:cstheme="minorEastAsia"/>
          <w:color w:val="auto"/>
          <w:sz w:val="24"/>
          <w:szCs w:val="24"/>
          <w:highlight w:val="none"/>
        </w:rPr>
        <w:t>在其报价得分基础上分别给予【报价总分值×4%×（自主创新产品合计报价/投标报价）】的加分，</w:t>
      </w:r>
      <w:r>
        <w:rPr>
          <w:rFonts w:hint="eastAsia" w:asciiTheme="minorEastAsia" w:hAnsiTheme="minorEastAsia" w:eastAsiaTheme="minorEastAsia" w:cstheme="minorEastAsia"/>
          <w:b/>
          <w:bCs/>
          <w:color w:val="auto"/>
          <w:sz w:val="24"/>
          <w:szCs w:val="24"/>
          <w:highlight w:val="none"/>
        </w:rPr>
        <w:t>须提供《政府采购自主创新产品目录》当前页复印件或政府部门公布的网站截屏。</w:t>
      </w:r>
    </w:p>
    <w:p>
      <w:pPr>
        <w:spacing w:line="365"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5）中小微企业评审：对小型和微型企业产品的价格给予【1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%×（小微企业产品合计报价/总报价）】的扣除，用扣除后的价格参与评审；投标时，小型、微型企业提供中型企业制造的货物的，视同为中型企业；</w:t>
      </w:r>
      <w:r>
        <w:rPr>
          <w:rFonts w:hint="eastAsia" w:asciiTheme="minorEastAsia" w:hAnsiTheme="minorEastAsia" w:eastAsiaTheme="minorEastAsia" w:cstheme="minorEastAsia"/>
          <w:b/>
          <w:bCs/>
          <w:color w:val="auto"/>
          <w:sz w:val="24"/>
          <w:szCs w:val="24"/>
          <w:highlight w:val="none"/>
        </w:rPr>
        <w:t>参加政府采购活动的中小企业应当在投标（报价）文件中提供《中小企业声明函》</w:t>
      </w:r>
      <w:r>
        <w:rPr>
          <w:rFonts w:hint="eastAsia" w:asciiTheme="minorEastAsia" w:hAnsiTheme="minorEastAsia" w:eastAsiaTheme="minorEastAsia" w:cstheme="minorEastAsia"/>
          <w:b/>
          <w:bCs/>
          <w:color w:val="auto"/>
          <w:sz w:val="24"/>
          <w:szCs w:val="24"/>
          <w:highlight w:val="none"/>
          <w:lang w:eastAsia="zh-CN"/>
        </w:rPr>
        <w:t>、小型、微型企业产品明细表</w:t>
      </w:r>
      <w:r>
        <w:rPr>
          <w:rFonts w:hint="eastAsia" w:asciiTheme="minorEastAsia" w:hAnsiTheme="minorEastAsia" w:eastAsiaTheme="minorEastAsia" w:cstheme="minorEastAsia"/>
          <w:b/>
          <w:bCs/>
          <w:color w:val="auto"/>
          <w:sz w:val="24"/>
          <w:szCs w:val="24"/>
          <w:highlight w:val="none"/>
        </w:rPr>
        <w:t>。</w:t>
      </w:r>
    </w:p>
    <w:p>
      <w:pPr>
        <w:spacing w:line="365" w:lineRule="auto"/>
        <w:ind w:firstLine="480"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6）残疾人福利性单位评审：视同小型、微型企业。残疾人福利性单位属于小型、微型企业的，不重复享受政策。参加政府采购活动的残疾人福利性单位应按照《三部门联合发布关于促进残疾人就业政府采购政策的通知》（财库〔2017〕141 号）的规定</w:t>
      </w:r>
      <w:r>
        <w:rPr>
          <w:rFonts w:hint="eastAsia" w:asciiTheme="minorEastAsia" w:hAnsiTheme="minorEastAsia" w:eastAsiaTheme="minorEastAsia" w:cstheme="minorEastAsia"/>
          <w:b/>
          <w:bCs/>
          <w:color w:val="auto"/>
          <w:sz w:val="24"/>
          <w:szCs w:val="24"/>
          <w:highlight w:val="none"/>
        </w:rPr>
        <w:t>在投标（报价）文件中提供《残疾人福利性单位声明函》，并对声明的真实性负责，否则按非残疾人福利性单位认定。</w:t>
      </w:r>
    </w:p>
    <w:p>
      <w:pPr>
        <w:spacing w:line="365" w:lineRule="auto"/>
        <w:ind w:firstLine="480"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7）监狱企业和戒毒企业评审：视同小型、微型企业。监狱企业和戒毒企业属于小型、微型企业，不重复享受政策。参加政府采购活动的监狱企业和戒毒企业应按照《关于政府采购支持监狱企业发展有关问题的通知》（ 财库[2014]68号）文件的规定：</w:t>
      </w:r>
      <w:r>
        <w:rPr>
          <w:rFonts w:hint="eastAsia" w:asciiTheme="minorEastAsia" w:hAnsiTheme="minorEastAsia" w:eastAsiaTheme="minorEastAsia" w:cstheme="minorEastAsia"/>
          <w:b/>
          <w:bCs/>
          <w:color w:val="auto"/>
          <w:sz w:val="24"/>
          <w:szCs w:val="24"/>
          <w:highlight w:val="none"/>
        </w:rPr>
        <w:t>在投标（报价）文件中提供由省级以上监狱管理局、戒毒管理局（含新疆生产建设兵团）出具的属于监狱企业的证明文件的复印件加盖公章，否则按非监狱企业和戒毒企业认定。</w:t>
      </w:r>
    </w:p>
    <w:p>
      <w:pPr>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 推荐成交候选人或确定成交供应商。</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磋商小组根据竞争性磋商文件确定的评审办法，按综合评审结果进行排序，选取本项目的候选供应商或根据采购人的授权直接确定成交供应商。</w:t>
      </w:r>
    </w:p>
    <w:p>
      <w:pPr>
        <w:spacing w:line="360" w:lineRule="auto"/>
        <w:ind w:firstLine="480" w:firstLineChars="200"/>
        <w:rPr>
          <w:color w:val="auto"/>
          <w:sz w:val="24"/>
          <w:highlight w:val="none"/>
        </w:rPr>
      </w:pPr>
      <w:r>
        <w:rPr>
          <w:color w:val="auto"/>
          <w:sz w:val="24"/>
          <w:highlight w:val="none"/>
        </w:rPr>
        <w:t>当</w:t>
      </w:r>
      <w:r>
        <w:rPr>
          <w:rFonts w:hint="eastAsia"/>
          <w:color w:val="auto"/>
          <w:sz w:val="24"/>
          <w:highlight w:val="none"/>
          <w:lang w:eastAsia="zh-CN"/>
        </w:rPr>
        <w:t>成交</w:t>
      </w:r>
      <w:r>
        <w:rPr>
          <w:color w:val="auto"/>
          <w:sz w:val="24"/>
          <w:highlight w:val="none"/>
        </w:rPr>
        <w:t>人放弃</w:t>
      </w:r>
      <w:r>
        <w:rPr>
          <w:rFonts w:hint="eastAsia"/>
          <w:color w:val="auto"/>
          <w:sz w:val="24"/>
          <w:highlight w:val="none"/>
          <w:lang w:eastAsia="zh-CN"/>
        </w:rPr>
        <w:t>成交</w:t>
      </w:r>
      <w:r>
        <w:rPr>
          <w:color w:val="auto"/>
          <w:sz w:val="24"/>
          <w:highlight w:val="none"/>
        </w:rPr>
        <w:t>结果或者因不可抗力</w:t>
      </w:r>
      <w:r>
        <w:rPr>
          <w:rFonts w:hint="eastAsia"/>
          <w:color w:val="auto"/>
          <w:sz w:val="24"/>
          <w:highlight w:val="none"/>
        </w:rPr>
        <w:t>及其他原因</w:t>
      </w:r>
      <w:r>
        <w:rPr>
          <w:color w:val="auto"/>
          <w:sz w:val="24"/>
          <w:highlight w:val="none"/>
        </w:rPr>
        <w:t>而不能履行合同的，由采购人按</w:t>
      </w:r>
      <w:r>
        <w:rPr>
          <w:rFonts w:hint="eastAsia"/>
          <w:color w:val="auto"/>
          <w:sz w:val="24"/>
          <w:highlight w:val="none"/>
        </w:rPr>
        <w:t>评审排名</w:t>
      </w:r>
      <w:r>
        <w:rPr>
          <w:color w:val="auto"/>
          <w:sz w:val="24"/>
          <w:highlight w:val="none"/>
        </w:rPr>
        <w:t>顺序</w:t>
      </w:r>
      <w:r>
        <w:rPr>
          <w:rFonts w:hint="eastAsia"/>
          <w:color w:val="auto"/>
          <w:sz w:val="24"/>
          <w:highlight w:val="none"/>
        </w:rPr>
        <w:t>递进</w:t>
      </w:r>
      <w:r>
        <w:rPr>
          <w:color w:val="auto"/>
          <w:sz w:val="24"/>
          <w:highlight w:val="none"/>
        </w:rPr>
        <w:t>确定</w:t>
      </w:r>
      <w:r>
        <w:rPr>
          <w:rFonts w:hint="eastAsia"/>
          <w:color w:val="auto"/>
          <w:sz w:val="24"/>
          <w:highlight w:val="none"/>
        </w:rPr>
        <w:t>成交供应商</w:t>
      </w:r>
      <w:r>
        <w:rPr>
          <w:color w:val="auto"/>
          <w:sz w:val="24"/>
          <w:highlight w:val="none"/>
        </w:rPr>
        <w:t>或重新组织招标。</w:t>
      </w:r>
    </w:p>
    <w:p>
      <w:pPr>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4．评审过程保密</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凡是属于审查、澄清、评价和比较投标的有关资料以及</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意向等，均不向供应商或者其他与评审无关的人员透露。</w:t>
      </w:r>
    </w:p>
    <w:p>
      <w:pPr>
        <w:spacing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 供应商瑕疵滞后的处理</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无论基于何种原因，各项本应作拒绝处理的情形即便未被及时发现而使该供应商进入初审、综合评审或其它后续程序，包括已经签订合同的情形，一旦在任何时间被发现存在上述情形，则</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rPr>
        <w:t>均有权随时视情形决定是否取消该供应商的此前评议结果，并有权决定采取相应的补救或纠正措施。一旦该供应商被取消该供应商的此前评议结果，其现有的位置将被其他供应商依序替代或者此项目做废标处理。</w:t>
      </w:r>
    </w:p>
    <w:p>
      <w:pPr>
        <w:pStyle w:val="29"/>
        <w:spacing w:line="360" w:lineRule="auto"/>
        <w:rPr>
          <w:rFonts w:asciiTheme="minorEastAsia" w:hAnsiTheme="minorEastAsia" w:eastAsiaTheme="minorEastAsia" w:cstheme="minorEastAsia"/>
          <w:color w:val="auto"/>
          <w:sz w:val="30"/>
          <w:szCs w:val="30"/>
          <w:highlight w:val="none"/>
        </w:rPr>
      </w:pPr>
      <w:bookmarkStart w:id="67" w:name="_Toc332979559"/>
      <w:bookmarkStart w:id="68" w:name="_Toc22147"/>
      <w:r>
        <w:rPr>
          <w:rFonts w:hint="eastAsia" w:asciiTheme="minorEastAsia" w:hAnsiTheme="minorEastAsia" w:eastAsiaTheme="minorEastAsia" w:cstheme="minorEastAsia"/>
          <w:color w:val="auto"/>
          <w:sz w:val="30"/>
          <w:szCs w:val="30"/>
          <w:highlight w:val="none"/>
        </w:rPr>
        <w:t>五、废标</w:t>
      </w:r>
      <w:bookmarkEnd w:id="62"/>
      <w:bookmarkEnd w:id="67"/>
      <w:bookmarkEnd w:id="68"/>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在招标采购中，出现下列情形之一的，应予废标：</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1.符合专业条件的供应商或者对竞争性磋商文件作实质响应的供应商不足三家的；</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2.出现影响采购公正的违法、违规行为的；</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3.供应商的报价均超过了预算金额，采购人不能支付的；</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4.因重大变故，采购任务取消的；</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5.法律、法规规定的其他情况。</w:t>
      </w:r>
    </w:p>
    <w:p>
      <w:pPr>
        <w:pStyle w:val="29"/>
        <w:spacing w:line="360" w:lineRule="auto"/>
        <w:rPr>
          <w:rFonts w:asciiTheme="minorEastAsia" w:hAnsiTheme="minorEastAsia" w:eastAsiaTheme="minorEastAsia" w:cstheme="minorEastAsia"/>
          <w:color w:val="auto"/>
          <w:sz w:val="30"/>
          <w:szCs w:val="30"/>
          <w:highlight w:val="none"/>
        </w:rPr>
      </w:pPr>
      <w:bookmarkStart w:id="69" w:name="_Toc325620719"/>
      <w:bookmarkStart w:id="70" w:name="_Toc332979560"/>
      <w:bookmarkStart w:id="71" w:name="_Toc3341"/>
      <w:r>
        <w:rPr>
          <w:rFonts w:hint="eastAsia" w:asciiTheme="minorEastAsia" w:hAnsiTheme="minorEastAsia" w:eastAsiaTheme="minorEastAsia" w:cstheme="minorEastAsia"/>
          <w:color w:val="auto"/>
          <w:sz w:val="30"/>
          <w:szCs w:val="30"/>
          <w:highlight w:val="none"/>
        </w:rPr>
        <w:t>六、</w:t>
      </w:r>
      <w:bookmarkEnd w:id="69"/>
      <w:bookmarkEnd w:id="70"/>
      <w:bookmarkEnd w:id="71"/>
      <w:r>
        <w:rPr>
          <w:rFonts w:hint="eastAsia" w:asciiTheme="minorEastAsia" w:hAnsiTheme="minorEastAsia" w:eastAsiaTheme="minorEastAsia" w:cstheme="minorEastAsia"/>
          <w:color w:val="auto"/>
          <w:sz w:val="30"/>
          <w:szCs w:val="30"/>
          <w:highlight w:val="none"/>
        </w:rPr>
        <w:t>成交通知书</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1、评审结束后，由采购人会同采购代理人向成交供应商签发《成交通知书》。</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2、成交供应商收到成交通知书后，应于指定的时间、地点与采购人签订采购合同。</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3、竞争性磋商文件及其补充、成交供应商的响应文件及澄清文件等，均为签订合同的依据。</w:t>
      </w:r>
      <w:r>
        <w:rPr>
          <w:rFonts w:hint="eastAsia" w:asciiTheme="minorEastAsia" w:hAnsiTheme="minorEastAsia" w:eastAsiaTheme="minorEastAsia" w:cstheme="minorEastAsia"/>
          <w:color w:val="auto"/>
          <w:sz w:val="24"/>
          <w:szCs w:val="24"/>
          <w:highlight w:val="none"/>
        </w:rPr>
        <w:br w:type="page"/>
      </w:r>
    </w:p>
    <w:p>
      <w:pPr>
        <w:pStyle w:val="3"/>
        <w:rPr>
          <w:rFonts w:asciiTheme="minorEastAsia" w:hAnsiTheme="minorEastAsia" w:eastAsiaTheme="minorEastAsia" w:cstheme="minorEastAsia"/>
          <w:color w:val="auto"/>
          <w:highlight w:val="none"/>
        </w:rPr>
      </w:pPr>
      <w:bookmarkStart w:id="72" w:name="_Toc332979561"/>
      <w:bookmarkStart w:id="73" w:name="_Toc18290"/>
      <w:r>
        <w:rPr>
          <w:rFonts w:hint="eastAsia" w:asciiTheme="minorEastAsia" w:hAnsiTheme="minorEastAsia" w:eastAsiaTheme="minorEastAsia" w:cstheme="minorEastAsia"/>
          <w:color w:val="auto"/>
          <w:highlight w:val="none"/>
        </w:rPr>
        <w:t>第四部分 授予合同</w:t>
      </w:r>
      <w:bookmarkEnd w:id="63"/>
      <w:bookmarkEnd w:id="64"/>
      <w:bookmarkEnd w:id="65"/>
      <w:bookmarkEnd w:id="66"/>
      <w:bookmarkEnd w:id="72"/>
      <w:bookmarkEnd w:id="73"/>
    </w:p>
    <w:p>
      <w:pPr>
        <w:pStyle w:val="29"/>
        <w:spacing w:line="360" w:lineRule="auto"/>
        <w:rPr>
          <w:rFonts w:asciiTheme="minorEastAsia" w:hAnsiTheme="minorEastAsia" w:eastAsiaTheme="minorEastAsia" w:cstheme="minorEastAsia"/>
          <w:color w:val="auto"/>
          <w:sz w:val="30"/>
          <w:szCs w:val="30"/>
          <w:highlight w:val="none"/>
        </w:rPr>
      </w:pPr>
      <w:bookmarkStart w:id="74" w:name="_Toc332979562"/>
      <w:bookmarkStart w:id="75" w:name="_Toc8997"/>
      <w:bookmarkStart w:id="76" w:name="_Toc325620721"/>
      <w:r>
        <w:rPr>
          <w:rFonts w:hint="eastAsia" w:asciiTheme="minorEastAsia" w:hAnsiTheme="minorEastAsia" w:eastAsiaTheme="minorEastAsia" w:cstheme="minorEastAsia"/>
          <w:color w:val="auto"/>
          <w:sz w:val="30"/>
          <w:szCs w:val="30"/>
          <w:highlight w:val="none"/>
        </w:rPr>
        <w:t>一、签订合同</w:t>
      </w:r>
      <w:bookmarkEnd w:id="74"/>
      <w:bookmarkEnd w:id="75"/>
      <w:bookmarkEnd w:id="76"/>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1．评审工作结束后，采购人向成交供应商签发《成交通知书》，在十个工作日内，由采购人和成交供应商签订合同。合同签订的内容不能超出竞争性磋商文件和响应文件的实质性内容。</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2．竞争性磋商文件、成交供应商的响应文件及评审过程中有关澄清文件等均为合同附件。</w:t>
      </w:r>
    </w:p>
    <w:p>
      <w:pPr>
        <w:pStyle w:val="29"/>
        <w:spacing w:line="360" w:lineRule="auto"/>
        <w:rPr>
          <w:rFonts w:hint="default" w:asciiTheme="minorEastAsia" w:hAnsiTheme="minorEastAsia" w:eastAsiaTheme="minorEastAsia" w:cstheme="minorEastAsia"/>
          <w:color w:val="auto"/>
          <w:sz w:val="30"/>
          <w:szCs w:val="30"/>
          <w:highlight w:val="none"/>
          <w:lang w:val="en-US" w:eastAsia="zh-CN"/>
        </w:rPr>
      </w:pPr>
      <w:bookmarkStart w:id="77" w:name="_Toc332979563"/>
      <w:bookmarkStart w:id="78" w:name="_Toc16534"/>
      <w:bookmarkStart w:id="79" w:name="_Toc325620722"/>
      <w:r>
        <w:rPr>
          <w:rFonts w:hint="eastAsia" w:asciiTheme="minorEastAsia" w:hAnsiTheme="minorEastAsia" w:eastAsiaTheme="minorEastAsia" w:cstheme="minorEastAsia"/>
          <w:color w:val="auto"/>
          <w:sz w:val="30"/>
          <w:szCs w:val="30"/>
          <w:highlight w:val="none"/>
        </w:rPr>
        <w:t>二、合同格式</w:t>
      </w:r>
      <w:bookmarkEnd w:id="77"/>
      <w:bookmarkEnd w:id="78"/>
      <w:bookmarkEnd w:id="79"/>
      <w:r>
        <w:rPr>
          <w:rFonts w:hint="eastAsia" w:asciiTheme="minorEastAsia" w:hAnsiTheme="minorEastAsia" w:eastAsiaTheme="minorEastAsia" w:cstheme="minorEastAsia"/>
          <w:color w:val="auto"/>
          <w:sz w:val="30"/>
          <w:szCs w:val="30"/>
          <w:highlight w:val="none"/>
          <w:lang w:eastAsia="zh-CN"/>
        </w:rPr>
        <w:t>（</w:t>
      </w:r>
      <w:r>
        <w:rPr>
          <w:rFonts w:hint="eastAsia" w:asciiTheme="minorEastAsia" w:hAnsiTheme="minorEastAsia" w:eastAsiaTheme="minorEastAsia" w:cstheme="minorEastAsia"/>
          <w:color w:val="auto"/>
          <w:sz w:val="30"/>
          <w:szCs w:val="30"/>
          <w:highlight w:val="none"/>
          <w:lang w:val="en-US" w:eastAsia="zh-CN"/>
        </w:rPr>
        <w:t>参考）</w:t>
      </w:r>
    </w:p>
    <w:p>
      <w:pPr>
        <w:widowControl/>
        <w:spacing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spacing w:line="360" w:lineRule="auto"/>
        <w:jc w:val="center"/>
        <w:rPr>
          <w:rFonts w:asciiTheme="minorEastAsia" w:hAnsiTheme="minorEastAsia" w:eastAsiaTheme="minorEastAsia" w:cstheme="minorEastAsia"/>
          <w:b/>
          <w:bCs/>
          <w:color w:val="auto"/>
          <w:sz w:val="72"/>
          <w:szCs w:val="72"/>
          <w:highlight w:val="none"/>
        </w:rPr>
      </w:pPr>
      <w:r>
        <w:rPr>
          <w:rFonts w:hint="eastAsia" w:asciiTheme="minorEastAsia" w:hAnsiTheme="minorEastAsia" w:eastAsiaTheme="minorEastAsia" w:cstheme="minorEastAsia"/>
          <w:b/>
          <w:bCs/>
          <w:color w:val="auto"/>
          <w:sz w:val="72"/>
          <w:szCs w:val="72"/>
          <w:highlight w:val="none"/>
        </w:rPr>
        <w:t>采购合同</w:t>
      </w:r>
    </w:p>
    <w:p>
      <w:pPr>
        <w:spacing w:line="360" w:lineRule="auto"/>
        <w:jc w:val="center"/>
        <w:rPr>
          <w:rFonts w:asciiTheme="minorEastAsia" w:hAnsiTheme="minorEastAsia" w:eastAsiaTheme="minorEastAsia" w:cstheme="minorEastAsia"/>
          <w:b/>
          <w:bCs/>
          <w:color w:val="auto"/>
          <w:sz w:val="30"/>
          <w:szCs w:val="30"/>
          <w:highlight w:val="none"/>
        </w:rPr>
      </w:pPr>
    </w:p>
    <w:p>
      <w:pPr>
        <w:spacing w:line="360" w:lineRule="auto"/>
        <w:jc w:val="center"/>
        <w:rPr>
          <w:rFonts w:asciiTheme="minorEastAsia" w:hAnsiTheme="minorEastAsia" w:eastAsiaTheme="minorEastAsia" w:cstheme="minorEastAsia"/>
          <w:b/>
          <w:bCs/>
          <w:color w:val="auto"/>
          <w:sz w:val="36"/>
          <w:szCs w:val="36"/>
          <w:highlight w:val="none"/>
        </w:rPr>
      </w:pPr>
    </w:p>
    <w:p>
      <w:pPr>
        <w:tabs>
          <w:tab w:val="left" w:pos="7360"/>
        </w:tabs>
        <w:spacing w:line="360" w:lineRule="auto"/>
        <w:jc w:val="left"/>
        <w:rPr>
          <w:rFonts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ab/>
      </w:r>
    </w:p>
    <w:p>
      <w:pPr>
        <w:tabs>
          <w:tab w:val="left" w:pos="7360"/>
        </w:tabs>
        <w:spacing w:line="360" w:lineRule="auto"/>
        <w:ind w:firstLine="2168" w:firstLineChars="600"/>
        <w:jc w:val="left"/>
        <w:rPr>
          <w:rFonts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 xml:space="preserve">项目名称：                             </w:t>
      </w:r>
    </w:p>
    <w:p>
      <w:pPr>
        <w:spacing w:before="312" w:beforeLines="100" w:line="360" w:lineRule="auto"/>
        <w:ind w:firstLine="2168" w:firstLineChars="600"/>
        <w:rPr>
          <w:rFonts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 xml:space="preserve">合同编号：                              </w:t>
      </w:r>
    </w:p>
    <w:p>
      <w:pPr>
        <w:spacing w:before="312" w:beforeLines="100" w:line="360" w:lineRule="auto"/>
        <w:ind w:firstLine="885" w:firstLineChars="245"/>
        <w:rPr>
          <w:rFonts w:asciiTheme="minorEastAsia" w:hAnsiTheme="minorEastAsia" w:eastAsiaTheme="minorEastAsia" w:cstheme="minorEastAsia"/>
          <w:b/>
          <w:bCs/>
          <w:color w:val="auto"/>
          <w:sz w:val="36"/>
          <w:szCs w:val="36"/>
          <w:highlight w:val="none"/>
        </w:rPr>
      </w:pPr>
    </w:p>
    <w:p>
      <w:pPr>
        <w:spacing w:before="312" w:beforeLines="100" w:line="360" w:lineRule="auto"/>
        <w:ind w:firstLine="885" w:firstLineChars="245"/>
        <w:rPr>
          <w:rFonts w:asciiTheme="minorEastAsia" w:hAnsiTheme="minorEastAsia" w:eastAsiaTheme="minorEastAsia" w:cstheme="minorEastAsia"/>
          <w:b/>
          <w:bCs/>
          <w:color w:val="auto"/>
          <w:sz w:val="36"/>
          <w:szCs w:val="36"/>
          <w:highlight w:val="none"/>
        </w:rPr>
      </w:pPr>
    </w:p>
    <w:p>
      <w:pPr>
        <w:spacing w:before="312" w:beforeLines="100" w:line="360" w:lineRule="auto"/>
        <w:ind w:firstLine="885" w:firstLineChars="245"/>
        <w:rPr>
          <w:rFonts w:asciiTheme="minorEastAsia" w:hAnsiTheme="minorEastAsia" w:eastAsiaTheme="minorEastAsia" w:cstheme="minorEastAsia"/>
          <w:b/>
          <w:bCs/>
          <w:color w:val="auto"/>
          <w:sz w:val="36"/>
          <w:szCs w:val="36"/>
          <w:highlight w:val="none"/>
        </w:rPr>
      </w:pPr>
    </w:p>
    <w:p>
      <w:pPr>
        <w:spacing w:before="312" w:beforeLines="100" w:line="360" w:lineRule="auto"/>
        <w:ind w:firstLine="885" w:firstLineChars="245"/>
        <w:rPr>
          <w:rFonts w:asciiTheme="minorEastAsia" w:hAnsiTheme="minorEastAsia" w:eastAsiaTheme="minorEastAsia" w:cstheme="minorEastAsia"/>
          <w:b/>
          <w:bCs/>
          <w:color w:val="auto"/>
          <w:sz w:val="36"/>
          <w:szCs w:val="36"/>
          <w:highlight w:val="none"/>
        </w:rPr>
      </w:pPr>
    </w:p>
    <w:p>
      <w:pPr>
        <w:spacing w:before="312" w:beforeLines="100" w:line="360" w:lineRule="auto"/>
        <w:ind w:firstLine="885" w:firstLineChars="245"/>
        <w:rPr>
          <w:rFonts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 xml:space="preserve">甲方：                        </w:t>
      </w:r>
    </w:p>
    <w:p>
      <w:pPr>
        <w:spacing w:before="312" w:beforeLines="100" w:line="360" w:lineRule="auto"/>
        <w:ind w:firstLine="885" w:firstLineChars="245"/>
        <w:rPr>
          <w:rFonts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 xml:space="preserve">乙方：      　　              </w:t>
      </w:r>
    </w:p>
    <w:p>
      <w:pPr>
        <w:spacing w:before="312" w:beforeLines="100" w:line="360" w:lineRule="auto"/>
        <w:ind w:firstLine="885" w:firstLineChars="245"/>
        <w:rPr>
          <w:rFonts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36"/>
          <w:szCs w:val="36"/>
          <w:highlight w:val="none"/>
        </w:rPr>
        <w:t xml:space="preserve">签署日期： </w:t>
      </w:r>
    </w:p>
    <w:p>
      <w:pPr>
        <w:tabs>
          <w:tab w:val="left" w:pos="7449"/>
        </w:tabs>
        <w:spacing w:before="312" w:beforeLines="100" w:line="360" w:lineRule="auto"/>
        <w:rPr>
          <w:rFonts w:asciiTheme="minorEastAsia" w:hAnsiTheme="minorEastAsia" w:eastAsiaTheme="minorEastAsia" w:cstheme="minorEastAsia"/>
          <w:b/>
          <w:bCs/>
          <w:color w:val="auto"/>
          <w:sz w:val="36"/>
          <w:szCs w:val="36"/>
          <w:highlight w:val="none"/>
          <w:u w:val="single"/>
        </w:rPr>
      </w:pPr>
    </w:p>
    <w:p>
      <w:pPr>
        <w:spacing w:line="360" w:lineRule="auto"/>
        <w:ind w:firstLine="810" w:firstLineChars="22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36"/>
          <w:szCs w:val="36"/>
          <w:highlight w:val="none"/>
          <w:u w:val="single"/>
        </w:rPr>
        <w:br w:type="page"/>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（甲方）所需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(货物名称)经</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以_______采购文件在国内以竞争性磋商方式进行采购。经最终评审，确定</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_____（乙方）为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成交供应商。甲、乙双方根据《中华人民共和国合同法》、《中华人民共和国政府采购法》和其他法律、法规的规定，并按照公正、平等、自愿、诚实信用的原则，同意按照以下条款和条件，签署本合同。</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一、本合同由合同文本和下列文件组成</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1、成交通知书</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2、成交供应商响应文件</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3、采购文件及补充通知</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4、成交供应商在评审过程中做出的书面澄清或承诺</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5、本合同附件</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二、货物的名称、数量、单价、规格和标准（详细清单见附件）</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三、合同金额</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四、货款支付</w:t>
      </w:r>
    </w:p>
    <w:p>
      <w:pPr>
        <w:spacing w:line="360" w:lineRule="auto"/>
        <w:ind w:firstLine="360" w:firstLineChars="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支付方式见本文件所述及成交供应商的承诺：</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五、交货</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1、交货时间：</w:t>
      </w:r>
      <w:r>
        <w:rPr>
          <w:rFonts w:hint="eastAsia" w:asciiTheme="minorEastAsia" w:hAnsiTheme="minorEastAsia" w:eastAsiaTheme="minorEastAsia" w:cstheme="minorEastAsia"/>
          <w:color w:val="auto"/>
          <w:sz w:val="24"/>
          <w:highlight w:val="none"/>
        </w:rPr>
        <w:tab/>
      </w:r>
    </w:p>
    <w:p>
      <w:pPr>
        <w:spacing w:line="360" w:lineRule="auto"/>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交货地点：</w:t>
      </w:r>
      <w:r>
        <w:rPr>
          <w:rFonts w:hint="eastAsia" w:asciiTheme="minorEastAsia" w:hAnsiTheme="minorEastAsia" w:eastAsiaTheme="minorEastAsia" w:cstheme="minorEastAsia"/>
          <w:color w:val="auto"/>
          <w:highlight w:val="none"/>
          <w:u w:val="single"/>
        </w:rPr>
        <w:t xml:space="preserve">                                                              </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3、风险负担：</w:t>
      </w:r>
    </w:p>
    <w:p>
      <w:pPr>
        <w:spacing w:line="360" w:lineRule="auto"/>
        <w:ind w:firstLine="540" w:firstLineChars="22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货物毁损、灭失的风险在该货物通过甲乙双方联合验收交付前由乙方承担，通过联合验收交付后由甲方承担；因质量问题甲方拒收的，风险由乙方承担。</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六、质量</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货物的质量应符合采购文件、响应文件及乙方在评审过程中做出的书面澄清及承诺。</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七、包装</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按照货物的包装应按照国家或业务主管部门的技术规定执行，国家或业务主管部门无技术规定的，应当按双方约定采取足以保护货物安全、完好的包装方式。</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八、运输要求</w:t>
      </w:r>
    </w:p>
    <w:p>
      <w:pPr>
        <w:spacing w:line="360" w:lineRule="auto"/>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1、运输方式及线路：</w:t>
      </w:r>
      <w:r>
        <w:rPr>
          <w:rFonts w:hint="eastAsia" w:asciiTheme="minorEastAsia" w:hAnsiTheme="minorEastAsia" w:eastAsiaTheme="minorEastAsia" w:cstheme="minorEastAsia"/>
          <w:color w:val="auto"/>
          <w:highlight w:val="none"/>
          <w:u w:val="single"/>
        </w:rPr>
        <w:t xml:space="preserve">                                                         </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2、运输及相关费用由乙方承担。</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九、知识产权</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乙方应保证甲方在中国境内使用货物或货物的任何一部分时，免受第三方提出的侵犯其知识产权的诉讼。</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十、验收</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1、货物到达交货地点交付前，甲方和乙方在</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z w:val="24"/>
          <w:highlight w:val="none"/>
        </w:rPr>
        <w:t>日内共同开箱检验货物的规格、质量和数量等状况，如货物需要安装、调试，则由乙方负责并承担相应的费用，甲方应积极配合。安装调试后</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z w:val="24"/>
          <w:highlight w:val="none"/>
        </w:rPr>
        <w:t>日内，甲、乙双方应按照合同要求验收。</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2、对货物的质量问题，甲方应在发现和应当发现之日起</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z w:val="24"/>
          <w:highlight w:val="none"/>
        </w:rPr>
        <w:t>日内向乙方提出书面异议，乙方在接到书面异议后，应当在</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z w:val="24"/>
          <w:highlight w:val="none"/>
        </w:rPr>
        <w:t>日内负责处理。甲方逾期提出的，对所交货物视为符合合同的规定。如果乙方在响应文件及评审过程中做出的书面说明及承诺中，有明确质量保证期的，适用质量保证期。</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3、货到现场经安装调试，达不到质量或规格要求的，甲方可以拒收，并可以解除合同。</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十一、售后服务</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1、乙方应按采购文件、响应文件及乙方在评审过程中做出的书面说明或承诺提供及时、快速、优质的售后服务。</w:t>
      </w:r>
    </w:p>
    <w:p>
      <w:pPr>
        <w:spacing w:line="360" w:lineRule="auto"/>
        <w:ind w:firstLine="540" w:firstLineChars="225"/>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sz w:val="24"/>
          <w:highlight w:val="none"/>
        </w:rPr>
        <w:t>2、其他售后服务内容：</w:t>
      </w:r>
      <w:r>
        <w:rPr>
          <w:rFonts w:hint="eastAsia" w:asciiTheme="minorEastAsia" w:hAnsiTheme="minorEastAsia" w:eastAsiaTheme="minorEastAsia" w:cstheme="minorEastAsia"/>
          <w:color w:val="auto"/>
          <w:highlight w:val="none"/>
          <w:u w:val="single"/>
        </w:rPr>
        <w:t xml:space="preserve">                </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十二、合同生效</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本合同在甲乙双方签字盖章后生效。</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十三、违约条款</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1、乙方延迟交货，每延迟1日，按应交付货物总额0.3‰支付违约金。</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2、乙方履行合同不符合规定，除应按合同约定及时调换外，在调换货物期间，应按调换货物金额每日0.3‰向甲方支付违约金。</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3、一方不按期履行合同，并经另一方提示后30日内仍不履行合同的，守约方有权解除合同，违约方要承担相应的赔偿责任。</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4、如因一方违约，双方未能就赔偿损失达成协议，引起诉讼或仲裁时，违约方除应赔偿对方经济损失外，还应承担对方因诉讼或仲裁所支付的律师代理费等相关费用。</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5、其它应承担的违约责任，以《中华人民共和国合同法》和其它有关法律、法规规定为准，无相关规定的，双方协商解决。 </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6、按照本合同规定应该偿付的违约金、赔偿金等，应当在明确责任后</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z w:val="24"/>
          <w:highlight w:val="none"/>
        </w:rPr>
        <w:t>日内，按银行规定或双方商定的结算办法付清，否则按逾期付款处理。</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十四、不可抗力条款</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因不可抗力致使一方不能及时或完全履行合同的，应及时通知另一方，双方互不承担责任，并在15天内提供有关不可抗力的相应证明。</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合同未履行部分是否继续履行、如何履行等问题，可由双方协商解决。</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十五、争议的解决方式</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合同发生纠纷时，双方应协商解决，协商不成可以采用下列方式解决：（1）提交项目所在地仲裁委员会仲裁；（2）向人民法院起诉。本合同发生纠纷，经双方协商不能解决时，采用第</w:t>
      </w:r>
      <w:r>
        <w:rPr>
          <w:rFonts w:hint="eastAsia" w:asciiTheme="minorEastAsia" w:hAnsiTheme="minorEastAsia" w:eastAsiaTheme="minorEastAsia" w:cstheme="minorEastAsia"/>
          <w:color w:val="auto"/>
          <w:sz w:val="24"/>
          <w:highlight w:val="none"/>
          <w:u w:val="single"/>
        </w:rPr>
        <w:t>（2）</w:t>
      </w:r>
      <w:r>
        <w:rPr>
          <w:rFonts w:hint="eastAsia" w:asciiTheme="minorEastAsia" w:hAnsiTheme="minorEastAsia" w:eastAsiaTheme="minorEastAsia" w:cstheme="minorEastAsia"/>
          <w:color w:val="auto"/>
          <w:sz w:val="24"/>
          <w:highlight w:val="none"/>
        </w:rPr>
        <w:t>种方式予以解决。</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十六、补充协议</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合同未尽事宜，经双方协商可签订补充协议，所签订的补充协议与本合同具有同等的法律效力，补充协议的生效应符合本合同第十二条的规定。</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十七、合同保存</w:t>
      </w:r>
    </w:p>
    <w:p>
      <w:pPr>
        <w:spacing w:line="360" w:lineRule="auto"/>
        <w:ind w:firstLine="540" w:firstLineChars="22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本合同一式</w:t>
      </w:r>
      <w:r>
        <w:rPr>
          <w:rFonts w:hint="eastAsia" w:asciiTheme="minorEastAsia" w:hAnsiTheme="minorEastAsia" w:eastAsiaTheme="minorEastAsia" w:cstheme="minorEastAsia"/>
          <w:color w:val="auto"/>
          <w:sz w:val="24"/>
          <w:highlight w:val="none"/>
          <w:u w:val="single"/>
        </w:rPr>
        <w:t xml:space="preserve">  四 </w:t>
      </w:r>
      <w:r>
        <w:rPr>
          <w:rFonts w:hint="eastAsia" w:asciiTheme="minorEastAsia" w:hAnsiTheme="minorEastAsia" w:eastAsiaTheme="minorEastAsia" w:cstheme="minorEastAsia"/>
          <w:color w:val="auto"/>
          <w:sz w:val="24"/>
          <w:highlight w:val="none"/>
        </w:rPr>
        <w:t>份，甲方</w:t>
      </w:r>
      <w:r>
        <w:rPr>
          <w:rFonts w:hint="eastAsia" w:asciiTheme="minorEastAsia" w:hAnsiTheme="minorEastAsia" w:eastAsiaTheme="minorEastAsia" w:cstheme="minorEastAsia"/>
          <w:color w:val="auto"/>
          <w:sz w:val="24"/>
          <w:highlight w:val="none"/>
          <w:u w:val="single"/>
        </w:rPr>
        <w:t xml:space="preserve">  二 </w:t>
      </w:r>
      <w:r>
        <w:rPr>
          <w:rFonts w:hint="eastAsia" w:asciiTheme="minorEastAsia" w:hAnsiTheme="minorEastAsia" w:eastAsiaTheme="minorEastAsia" w:cstheme="minorEastAsia"/>
          <w:color w:val="auto"/>
          <w:sz w:val="24"/>
          <w:highlight w:val="none"/>
        </w:rPr>
        <w:t>份，乙方</w:t>
      </w:r>
      <w:r>
        <w:rPr>
          <w:rFonts w:hint="eastAsia" w:asciiTheme="minorEastAsia" w:hAnsiTheme="minorEastAsia" w:eastAsiaTheme="minorEastAsia" w:cstheme="minorEastAsia"/>
          <w:color w:val="auto"/>
          <w:sz w:val="24"/>
          <w:highlight w:val="none"/>
          <w:u w:val="single"/>
        </w:rPr>
        <w:t xml:space="preserve"> 二 </w:t>
      </w:r>
      <w:r>
        <w:rPr>
          <w:rFonts w:hint="eastAsia" w:asciiTheme="minorEastAsia" w:hAnsiTheme="minorEastAsia" w:eastAsiaTheme="minorEastAsia" w:cstheme="minorEastAsia"/>
          <w:color w:val="auto"/>
          <w:sz w:val="24"/>
          <w:highlight w:val="none"/>
        </w:rPr>
        <w:t>份。</w:t>
      </w:r>
    </w:p>
    <w:tbl>
      <w:tblPr>
        <w:tblStyle w:val="32"/>
        <w:tblW w:w="8994" w:type="dxa"/>
        <w:tblInd w:w="0" w:type="dxa"/>
        <w:tblLayout w:type="fixed"/>
        <w:tblCellMar>
          <w:top w:w="0" w:type="dxa"/>
          <w:left w:w="108" w:type="dxa"/>
          <w:bottom w:w="0" w:type="dxa"/>
          <w:right w:w="108" w:type="dxa"/>
        </w:tblCellMar>
      </w:tblPr>
      <w:tblGrid>
        <w:gridCol w:w="3348"/>
        <w:gridCol w:w="912"/>
        <w:gridCol w:w="438"/>
        <w:gridCol w:w="2955"/>
        <w:gridCol w:w="1341"/>
      </w:tblGrid>
      <w:tr>
        <w:tblPrEx>
          <w:tblCellMar>
            <w:top w:w="0" w:type="dxa"/>
            <w:left w:w="108" w:type="dxa"/>
            <w:bottom w:w="0" w:type="dxa"/>
            <w:right w:w="108" w:type="dxa"/>
          </w:tblCellMar>
        </w:tblPrEx>
        <w:tc>
          <w:tcPr>
            <w:tcW w:w="3348" w:type="dxa"/>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甲    方（盖章）：           </w:t>
            </w:r>
          </w:p>
        </w:tc>
        <w:tc>
          <w:tcPr>
            <w:tcW w:w="1350" w:type="dxa"/>
            <w:gridSpan w:val="2"/>
          </w:tcPr>
          <w:p>
            <w:pPr>
              <w:spacing w:line="360" w:lineRule="auto"/>
              <w:ind w:firstLine="410" w:firstLineChars="171"/>
              <w:rPr>
                <w:rFonts w:asciiTheme="minorEastAsia" w:hAnsiTheme="minorEastAsia" w:eastAsiaTheme="minorEastAsia" w:cstheme="minorEastAsia"/>
                <w:color w:val="auto"/>
                <w:sz w:val="24"/>
                <w:highlight w:val="none"/>
              </w:rPr>
            </w:pPr>
          </w:p>
        </w:tc>
        <w:tc>
          <w:tcPr>
            <w:tcW w:w="2955" w:type="dxa"/>
          </w:tcPr>
          <w:p>
            <w:pPr>
              <w:tabs>
                <w:tab w:val="left" w:pos="390"/>
              </w:tabs>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乙    方（盖章）： </w:t>
            </w:r>
          </w:p>
        </w:tc>
        <w:tc>
          <w:tcPr>
            <w:tcW w:w="1341" w:type="dxa"/>
          </w:tcPr>
          <w:p>
            <w:pPr>
              <w:spacing w:line="360" w:lineRule="auto"/>
              <w:ind w:firstLine="410" w:firstLineChars="171"/>
              <w:rPr>
                <w:rFonts w:asciiTheme="minorEastAsia" w:hAnsiTheme="minorEastAsia" w:eastAsiaTheme="minorEastAsia" w:cstheme="minorEastAsia"/>
                <w:color w:val="auto"/>
                <w:sz w:val="24"/>
                <w:highlight w:val="none"/>
              </w:rPr>
            </w:pPr>
          </w:p>
        </w:tc>
      </w:tr>
      <w:tr>
        <w:tblPrEx>
          <w:tblCellMar>
            <w:top w:w="0" w:type="dxa"/>
            <w:left w:w="108" w:type="dxa"/>
            <w:bottom w:w="0" w:type="dxa"/>
            <w:right w:w="108" w:type="dxa"/>
          </w:tblCellMar>
        </w:tblPrEx>
        <w:tc>
          <w:tcPr>
            <w:tcW w:w="3348" w:type="dxa"/>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授权代表（签字或盖章）：</w:t>
            </w:r>
          </w:p>
        </w:tc>
        <w:tc>
          <w:tcPr>
            <w:tcW w:w="912" w:type="dxa"/>
          </w:tcPr>
          <w:p>
            <w:pPr>
              <w:spacing w:line="360" w:lineRule="auto"/>
              <w:ind w:firstLine="410" w:firstLineChars="171"/>
              <w:rPr>
                <w:rFonts w:asciiTheme="minorEastAsia" w:hAnsiTheme="minorEastAsia" w:eastAsiaTheme="minorEastAsia" w:cstheme="minorEastAsia"/>
                <w:color w:val="auto"/>
                <w:sz w:val="24"/>
                <w:highlight w:val="none"/>
              </w:rPr>
            </w:pPr>
          </w:p>
        </w:tc>
        <w:tc>
          <w:tcPr>
            <w:tcW w:w="3393" w:type="dxa"/>
            <w:gridSpan w:val="2"/>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授权代表（签字或盖章）：</w:t>
            </w:r>
          </w:p>
        </w:tc>
        <w:tc>
          <w:tcPr>
            <w:tcW w:w="1341" w:type="dxa"/>
          </w:tcPr>
          <w:p>
            <w:pPr>
              <w:spacing w:line="360" w:lineRule="auto"/>
              <w:ind w:firstLine="410" w:firstLineChars="171"/>
              <w:rPr>
                <w:rFonts w:asciiTheme="minorEastAsia" w:hAnsiTheme="minorEastAsia" w:eastAsiaTheme="minorEastAsia" w:cstheme="minorEastAsia"/>
                <w:color w:val="auto"/>
                <w:sz w:val="24"/>
                <w:highlight w:val="none"/>
              </w:rPr>
            </w:pPr>
          </w:p>
        </w:tc>
      </w:tr>
      <w:tr>
        <w:tblPrEx>
          <w:tblCellMar>
            <w:top w:w="0" w:type="dxa"/>
            <w:left w:w="108" w:type="dxa"/>
            <w:bottom w:w="0" w:type="dxa"/>
            <w:right w:w="108" w:type="dxa"/>
          </w:tblCellMar>
        </w:tblPrEx>
        <w:tc>
          <w:tcPr>
            <w:tcW w:w="3348" w:type="dxa"/>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p>
        </w:tc>
        <w:tc>
          <w:tcPr>
            <w:tcW w:w="912" w:type="dxa"/>
          </w:tcPr>
          <w:p>
            <w:pPr>
              <w:spacing w:line="360" w:lineRule="auto"/>
              <w:ind w:firstLine="410" w:firstLineChars="171"/>
              <w:rPr>
                <w:rFonts w:asciiTheme="minorEastAsia" w:hAnsiTheme="minorEastAsia" w:eastAsiaTheme="minorEastAsia" w:cstheme="minorEastAsia"/>
                <w:color w:val="auto"/>
                <w:sz w:val="24"/>
                <w:highlight w:val="none"/>
              </w:rPr>
            </w:pPr>
          </w:p>
        </w:tc>
        <w:tc>
          <w:tcPr>
            <w:tcW w:w="3393" w:type="dxa"/>
            <w:gridSpan w:val="2"/>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p>
        </w:tc>
        <w:tc>
          <w:tcPr>
            <w:tcW w:w="1341" w:type="dxa"/>
          </w:tcPr>
          <w:p>
            <w:pPr>
              <w:spacing w:line="360" w:lineRule="auto"/>
              <w:ind w:firstLine="410" w:firstLineChars="171"/>
              <w:rPr>
                <w:rFonts w:asciiTheme="minorEastAsia" w:hAnsiTheme="minorEastAsia" w:eastAsiaTheme="minorEastAsia" w:cstheme="minorEastAsia"/>
                <w:color w:val="auto"/>
                <w:sz w:val="24"/>
                <w:highlight w:val="none"/>
              </w:rPr>
            </w:pPr>
          </w:p>
        </w:tc>
      </w:tr>
      <w:tr>
        <w:tblPrEx>
          <w:tblCellMar>
            <w:top w:w="0" w:type="dxa"/>
            <w:left w:w="108" w:type="dxa"/>
            <w:bottom w:w="0" w:type="dxa"/>
            <w:right w:w="108" w:type="dxa"/>
          </w:tblCellMar>
        </w:tblPrEx>
        <w:tc>
          <w:tcPr>
            <w:tcW w:w="3348" w:type="dxa"/>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邮政编码：</w:t>
            </w:r>
          </w:p>
        </w:tc>
        <w:tc>
          <w:tcPr>
            <w:tcW w:w="912" w:type="dxa"/>
          </w:tcPr>
          <w:p>
            <w:pPr>
              <w:spacing w:line="360" w:lineRule="auto"/>
              <w:ind w:firstLine="410" w:firstLineChars="171"/>
              <w:rPr>
                <w:rFonts w:asciiTheme="minorEastAsia" w:hAnsiTheme="minorEastAsia" w:eastAsiaTheme="minorEastAsia" w:cstheme="minorEastAsia"/>
                <w:color w:val="auto"/>
                <w:sz w:val="24"/>
                <w:highlight w:val="none"/>
              </w:rPr>
            </w:pPr>
          </w:p>
        </w:tc>
        <w:tc>
          <w:tcPr>
            <w:tcW w:w="3393" w:type="dxa"/>
            <w:gridSpan w:val="2"/>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邮政编码：</w:t>
            </w:r>
          </w:p>
        </w:tc>
        <w:tc>
          <w:tcPr>
            <w:tcW w:w="1341" w:type="dxa"/>
          </w:tcPr>
          <w:p>
            <w:pPr>
              <w:spacing w:line="360" w:lineRule="auto"/>
              <w:ind w:firstLine="410" w:firstLineChars="171"/>
              <w:rPr>
                <w:rFonts w:asciiTheme="minorEastAsia" w:hAnsiTheme="minorEastAsia" w:eastAsiaTheme="minorEastAsia" w:cstheme="minorEastAsia"/>
                <w:color w:val="auto"/>
                <w:sz w:val="24"/>
                <w:highlight w:val="none"/>
              </w:rPr>
            </w:pPr>
          </w:p>
        </w:tc>
      </w:tr>
      <w:tr>
        <w:tblPrEx>
          <w:tblCellMar>
            <w:top w:w="0" w:type="dxa"/>
            <w:left w:w="108" w:type="dxa"/>
            <w:bottom w:w="0" w:type="dxa"/>
            <w:right w:w="108" w:type="dxa"/>
          </w:tblCellMar>
        </w:tblPrEx>
        <w:tc>
          <w:tcPr>
            <w:tcW w:w="3348" w:type="dxa"/>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w:t>
            </w:r>
          </w:p>
        </w:tc>
        <w:tc>
          <w:tcPr>
            <w:tcW w:w="912" w:type="dxa"/>
          </w:tcPr>
          <w:p>
            <w:pPr>
              <w:spacing w:line="360" w:lineRule="auto"/>
              <w:ind w:firstLine="410" w:firstLineChars="171"/>
              <w:rPr>
                <w:rFonts w:asciiTheme="minorEastAsia" w:hAnsiTheme="minorEastAsia" w:eastAsiaTheme="minorEastAsia" w:cstheme="minorEastAsia"/>
                <w:color w:val="auto"/>
                <w:sz w:val="24"/>
                <w:highlight w:val="none"/>
              </w:rPr>
            </w:pPr>
          </w:p>
        </w:tc>
        <w:tc>
          <w:tcPr>
            <w:tcW w:w="3393" w:type="dxa"/>
            <w:gridSpan w:val="2"/>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w:t>
            </w:r>
          </w:p>
        </w:tc>
        <w:tc>
          <w:tcPr>
            <w:tcW w:w="1341" w:type="dxa"/>
          </w:tcPr>
          <w:p>
            <w:pPr>
              <w:spacing w:line="360" w:lineRule="auto"/>
              <w:ind w:firstLine="410" w:firstLineChars="171"/>
              <w:rPr>
                <w:rFonts w:asciiTheme="minorEastAsia" w:hAnsiTheme="minorEastAsia" w:eastAsiaTheme="minorEastAsia" w:cstheme="minorEastAsia"/>
                <w:color w:val="auto"/>
                <w:sz w:val="24"/>
                <w:highlight w:val="none"/>
              </w:rPr>
            </w:pPr>
          </w:p>
        </w:tc>
      </w:tr>
      <w:tr>
        <w:tblPrEx>
          <w:tblCellMar>
            <w:top w:w="0" w:type="dxa"/>
            <w:left w:w="108" w:type="dxa"/>
            <w:bottom w:w="0" w:type="dxa"/>
            <w:right w:w="108" w:type="dxa"/>
          </w:tblCellMar>
        </w:tblPrEx>
        <w:tc>
          <w:tcPr>
            <w:tcW w:w="3348" w:type="dxa"/>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开户单位：</w:t>
            </w:r>
          </w:p>
        </w:tc>
        <w:tc>
          <w:tcPr>
            <w:tcW w:w="912" w:type="dxa"/>
          </w:tcPr>
          <w:p>
            <w:pPr>
              <w:spacing w:line="360" w:lineRule="auto"/>
              <w:ind w:firstLine="410" w:firstLineChars="171"/>
              <w:rPr>
                <w:rFonts w:asciiTheme="minorEastAsia" w:hAnsiTheme="minorEastAsia" w:eastAsiaTheme="minorEastAsia" w:cstheme="minorEastAsia"/>
                <w:color w:val="auto"/>
                <w:sz w:val="24"/>
                <w:highlight w:val="none"/>
              </w:rPr>
            </w:pPr>
          </w:p>
        </w:tc>
        <w:tc>
          <w:tcPr>
            <w:tcW w:w="3393" w:type="dxa"/>
            <w:gridSpan w:val="2"/>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开户单位：</w:t>
            </w:r>
          </w:p>
        </w:tc>
        <w:tc>
          <w:tcPr>
            <w:tcW w:w="1341" w:type="dxa"/>
          </w:tcPr>
          <w:p>
            <w:pPr>
              <w:spacing w:line="360" w:lineRule="auto"/>
              <w:ind w:firstLine="410" w:firstLineChars="171"/>
              <w:rPr>
                <w:rFonts w:asciiTheme="minorEastAsia" w:hAnsiTheme="minorEastAsia" w:eastAsiaTheme="minorEastAsia" w:cstheme="minorEastAsia"/>
                <w:color w:val="auto"/>
                <w:sz w:val="24"/>
                <w:highlight w:val="none"/>
              </w:rPr>
            </w:pPr>
          </w:p>
        </w:tc>
      </w:tr>
      <w:tr>
        <w:tblPrEx>
          <w:tblCellMar>
            <w:top w:w="0" w:type="dxa"/>
            <w:left w:w="108" w:type="dxa"/>
            <w:bottom w:w="0" w:type="dxa"/>
            <w:right w:w="108" w:type="dxa"/>
          </w:tblCellMar>
        </w:tblPrEx>
        <w:tc>
          <w:tcPr>
            <w:tcW w:w="3348" w:type="dxa"/>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p>
        </w:tc>
        <w:tc>
          <w:tcPr>
            <w:tcW w:w="912" w:type="dxa"/>
          </w:tcPr>
          <w:p>
            <w:pPr>
              <w:spacing w:line="360" w:lineRule="auto"/>
              <w:ind w:firstLine="410" w:firstLineChars="171"/>
              <w:rPr>
                <w:rFonts w:asciiTheme="minorEastAsia" w:hAnsiTheme="minorEastAsia" w:eastAsiaTheme="minorEastAsia" w:cstheme="minorEastAsia"/>
                <w:color w:val="auto"/>
                <w:sz w:val="24"/>
                <w:highlight w:val="none"/>
              </w:rPr>
            </w:pPr>
          </w:p>
        </w:tc>
        <w:tc>
          <w:tcPr>
            <w:tcW w:w="3393" w:type="dxa"/>
            <w:gridSpan w:val="2"/>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p>
        </w:tc>
        <w:tc>
          <w:tcPr>
            <w:tcW w:w="1341" w:type="dxa"/>
          </w:tcPr>
          <w:p>
            <w:pPr>
              <w:spacing w:line="360" w:lineRule="auto"/>
              <w:ind w:firstLine="410" w:firstLineChars="171"/>
              <w:rPr>
                <w:rFonts w:asciiTheme="minorEastAsia" w:hAnsiTheme="minorEastAsia" w:eastAsiaTheme="minorEastAsia" w:cstheme="minorEastAsia"/>
                <w:color w:val="auto"/>
                <w:sz w:val="24"/>
                <w:highlight w:val="none"/>
              </w:rPr>
            </w:pPr>
          </w:p>
        </w:tc>
      </w:tr>
      <w:tr>
        <w:tblPrEx>
          <w:tblCellMar>
            <w:top w:w="0" w:type="dxa"/>
            <w:left w:w="108" w:type="dxa"/>
            <w:bottom w:w="0" w:type="dxa"/>
            <w:right w:w="108" w:type="dxa"/>
          </w:tblCellMar>
        </w:tblPrEx>
        <w:tc>
          <w:tcPr>
            <w:tcW w:w="3348" w:type="dxa"/>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帐    号：</w:t>
            </w:r>
          </w:p>
        </w:tc>
        <w:tc>
          <w:tcPr>
            <w:tcW w:w="912" w:type="dxa"/>
          </w:tcPr>
          <w:p>
            <w:pPr>
              <w:spacing w:line="360" w:lineRule="auto"/>
              <w:ind w:firstLine="410" w:firstLineChars="171"/>
              <w:rPr>
                <w:rFonts w:asciiTheme="minorEastAsia" w:hAnsiTheme="minorEastAsia" w:eastAsiaTheme="minorEastAsia" w:cstheme="minorEastAsia"/>
                <w:color w:val="auto"/>
                <w:sz w:val="24"/>
                <w:highlight w:val="none"/>
              </w:rPr>
            </w:pPr>
          </w:p>
        </w:tc>
        <w:tc>
          <w:tcPr>
            <w:tcW w:w="3393" w:type="dxa"/>
            <w:gridSpan w:val="2"/>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帐    号：</w:t>
            </w:r>
          </w:p>
        </w:tc>
        <w:tc>
          <w:tcPr>
            <w:tcW w:w="1341" w:type="dxa"/>
          </w:tcPr>
          <w:p>
            <w:pPr>
              <w:spacing w:line="360" w:lineRule="auto"/>
              <w:ind w:firstLine="410" w:firstLineChars="171"/>
              <w:rPr>
                <w:rFonts w:asciiTheme="minorEastAsia" w:hAnsiTheme="minorEastAsia" w:eastAsiaTheme="minorEastAsia" w:cstheme="minorEastAsia"/>
                <w:color w:val="auto"/>
                <w:sz w:val="24"/>
                <w:highlight w:val="none"/>
              </w:rPr>
            </w:pPr>
          </w:p>
        </w:tc>
      </w:tr>
      <w:tr>
        <w:tblPrEx>
          <w:tblCellMar>
            <w:top w:w="0" w:type="dxa"/>
            <w:left w:w="108" w:type="dxa"/>
            <w:bottom w:w="0" w:type="dxa"/>
            <w:right w:w="108" w:type="dxa"/>
          </w:tblCellMar>
        </w:tblPrEx>
        <w:trPr>
          <w:trHeight w:val="148" w:hRule="atLeast"/>
        </w:trPr>
        <w:tc>
          <w:tcPr>
            <w:tcW w:w="3348" w:type="dxa"/>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时    间：  年   月  日</w:t>
            </w:r>
          </w:p>
        </w:tc>
        <w:tc>
          <w:tcPr>
            <w:tcW w:w="912" w:type="dxa"/>
          </w:tcPr>
          <w:p>
            <w:pPr>
              <w:spacing w:line="360" w:lineRule="auto"/>
              <w:rPr>
                <w:rFonts w:asciiTheme="minorEastAsia" w:hAnsiTheme="minorEastAsia" w:eastAsiaTheme="minorEastAsia" w:cstheme="minorEastAsia"/>
                <w:color w:val="auto"/>
                <w:sz w:val="24"/>
                <w:highlight w:val="none"/>
              </w:rPr>
            </w:pPr>
          </w:p>
          <w:p>
            <w:pPr>
              <w:spacing w:line="360" w:lineRule="auto"/>
              <w:rPr>
                <w:rFonts w:asciiTheme="minorEastAsia" w:hAnsiTheme="minorEastAsia" w:eastAsiaTheme="minorEastAsia" w:cstheme="minorEastAsia"/>
                <w:color w:val="auto"/>
                <w:sz w:val="24"/>
                <w:highlight w:val="none"/>
              </w:rPr>
            </w:pPr>
          </w:p>
        </w:tc>
        <w:tc>
          <w:tcPr>
            <w:tcW w:w="3393" w:type="dxa"/>
            <w:gridSpan w:val="2"/>
          </w:tcPr>
          <w:p>
            <w:pPr>
              <w:spacing w:line="360" w:lineRule="auto"/>
              <w:ind w:firstLine="410" w:firstLineChars="17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时    间：  年   月   日</w:t>
            </w:r>
          </w:p>
        </w:tc>
        <w:tc>
          <w:tcPr>
            <w:tcW w:w="1341" w:type="dxa"/>
          </w:tcPr>
          <w:p>
            <w:pPr>
              <w:spacing w:line="360" w:lineRule="auto"/>
              <w:rPr>
                <w:rFonts w:asciiTheme="minorEastAsia" w:hAnsiTheme="minorEastAsia" w:eastAsiaTheme="minorEastAsia" w:cstheme="minorEastAsia"/>
                <w:color w:val="auto"/>
                <w:sz w:val="24"/>
                <w:highlight w:val="none"/>
              </w:rPr>
            </w:pPr>
          </w:p>
          <w:p>
            <w:pPr>
              <w:spacing w:line="360" w:lineRule="auto"/>
              <w:rPr>
                <w:rFonts w:asciiTheme="minorEastAsia" w:hAnsiTheme="minorEastAsia" w:eastAsiaTheme="minorEastAsia" w:cstheme="minorEastAsia"/>
                <w:color w:val="auto"/>
                <w:sz w:val="24"/>
                <w:highlight w:val="none"/>
              </w:rPr>
            </w:pPr>
          </w:p>
        </w:tc>
      </w:tr>
    </w:tbl>
    <w:p>
      <w:pPr>
        <w:spacing w:before="312"/>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color w:val="auto"/>
          <w:sz w:val="36"/>
          <w:szCs w:val="36"/>
          <w:highlight w:val="none"/>
          <w:u w:val="single"/>
        </w:rPr>
        <w:br w:type="page"/>
      </w:r>
      <w:bookmarkStart w:id="80" w:name="_Toc8986"/>
      <w:bookmarkStart w:id="81" w:name="_Toc325620723"/>
      <w:bookmarkStart w:id="82" w:name="_Toc332979564"/>
      <w:r>
        <w:rPr>
          <w:rFonts w:hint="eastAsia" w:asciiTheme="minorEastAsia" w:hAnsiTheme="minorEastAsia" w:eastAsiaTheme="minorEastAsia" w:cstheme="minorEastAsia"/>
          <w:b/>
          <w:bCs/>
          <w:color w:val="auto"/>
          <w:sz w:val="36"/>
          <w:szCs w:val="36"/>
          <w:highlight w:val="none"/>
        </w:rPr>
        <w:t>第五部分 项目</w:t>
      </w:r>
      <w:r>
        <w:rPr>
          <w:rFonts w:hint="eastAsia" w:asciiTheme="minorEastAsia" w:hAnsiTheme="minorEastAsia" w:eastAsiaTheme="minorEastAsia" w:cstheme="minorEastAsia"/>
          <w:b/>
          <w:bCs/>
          <w:color w:val="auto"/>
          <w:sz w:val="36"/>
          <w:szCs w:val="36"/>
          <w:highlight w:val="none"/>
          <w:lang w:eastAsia="zh-CN"/>
        </w:rPr>
        <w:t>技术参数</w:t>
      </w:r>
      <w:r>
        <w:rPr>
          <w:rFonts w:hint="eastAsia" w:asciiTheme="minorEastAsia" w:hAnsiTheme="minorEastAsia" w:eastAsiaTheme="minorEastAsia" w:cstheme="minorEastAsia"/>
          <w:b/>
          <w:bCs/>
          <w:color w:val="auto"/>
          <w:sz w:val="36"/>
          <w:szCs w:val="36"/>
          <w:highlight w:val="none"/>
        </w:rPr>
        <w:t>要求</w:t>
      </w:r>
      <w:bookmarkEnd w:id="80"/>
      <w:bookmarkEnd w:id="81"/>
      <w:bookmarkEnd w:id="82"/>
    </w:p>
    <w:p>
      <w:pPr>
        <w:pStyle w:val="2"/>
        <w:rPr>
          <w:rFonts w:hint="default" w:eastAsia="宋体"/>
          <w:color w:val="auto"/>
          <w:highlight w:val="none"/>
          <w:lang w:val="en-US" w:eastAsia="zh-CN"/>
        </w:rPr>
      </w:pPr>
      <w:r>
        <w:rPr>
          <w:rFonts w:hint="eastAsia"/>
          <w:color w:val="auto"/>
          <w:highlight w:val="none"/>
          <w:lang w:val="en-US" w:eastAsia="zh-CN"/>
        </w:rPr>
        <w:t>一、采购清单及技术参数要求</w:t>
      </w:r>
    </w:p>
    <w:tbl>
      <w:tblPr>
        <w:tblStyle w:val="32"/>
        <w:tblW w:w="94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897"/>
        <w:gridCol w:w="6858"/>
        <w:gridCol w:w="525"/>
        <w:gridCol w:w="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81" w:type="dxa"/>
            <w:gridSpan w:val="5"/>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bookmarkStart w:id="83" w:name="_Toc332979569"/>
            <w:bookmarkStart w:id="84" w:name="_Toc430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序号</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设备名称</w:t>
            </w:r>
          </w:p>
        </w:tc>
        <w:tc>
          <w:tcPr>
            <w:tcW w:w="685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技术参数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单位</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auto"/>
                <w:sz w:val="22"/>
                <w:szCs w:val="22"/>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auto"/>
                <w:sz w:val="22"/>
                <w:szCs w:val="22"/>
                <w:u w:val="none"/>
              </w:rPr>
            </w:pPr>
          </w:p>
        </w:tc>
        <w:tc>
          <w:tcPr>
            <w:tcW w:w="685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auto"/>
                <w:sz w:val="22"/>
                <w:szCs w:val="22"/>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auto"/>
                <w:sz w:val="22"/>
                <w:szCs w:val="22"/>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SIP网关巡查互联平台服务器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138"/>
                <w:b w:val="0"/>
                <w:bCs w:val="0"/>
                <w:color w:val="auto"/>
                <w:sz w:val="22"/>
                <w:szCs w:val="22"/>
                <w:lang w:val="en-US" w:eastAsia="zh-CN" w:bidi="ar"/>
              </w:rPr>
            </w:pPr>
            <w:r>
              <w:rPr>
                <w:rStyle w:val="138"/>
                <w:b w:val="0"/>
                <w:bCs w:val="0"/>
                <w:color w:val="auto"/>
                <w:sz w:val="22"/>
                <w:szCs w:val="22"/>
                <w:lang w:val="en-US" w:eastAsia="zh-CN" w:bidi="ar"/>
              </w:rPr>
              <w:t>1、</w:t>
            </w:r>
            <w:r>
              <w:rPr>
                <w:rStyle w:val="127"/>
                <w:b w:val="0"/>
                <w:bCs w:val="0"/>
                <w:color w:val="auto"/>
                <w:sz w:val="22"/>
                <w:szCs w:val="22"/>
                <w:lang w:val="en-US" w:eastAsia="zh-CN" w:bidi="ar"/>
              </w:rPr>
              <w:t>符合《国家教育考试网上巡查系统视频标准技术规范（2017版）》和《山东省国家教育考试标准化考点建设技术标准（2022）》的技术要求。</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Style w:val="138"/>
                <w:rFonts w:hint="eastAsia"/>
                <w:b w:val="0"/>
                <w:bCs w:val="0"/>
                <w:color w:val="auto"/>
                <w:sz w:val="22"/>
                <w:szCs w:val="22"/>
                <w:lang w:val="en-US" w:eastAsia="zh-CN" w:bidi="ar"/>
              </w:rPr>
              <w:t>2、</w:t>
            </w:r>
            <w:r>
              <w:rPr>
                <w:rStyle w:val="138"/>
                <w:b w:val="0"/>
                <w:bCs w:val="0"/>
                <w:color w:val="auto"/>
                <w:sz w:val="22"/>
                <w:szCs w:val="22"/>
                <w:lang w:val="en-US" w:eastAsia="zh-CN" w:bidi="ar"/>
              </w:rPr>
              <w:t>为保证考试系统的稳定性和安全性，要求</w:t>
            </w:r>
            <w:r>
              <w:rPr>
                <w:rStyle w:val="127"/>
                <w:b w:val="0"/>
                <w:bCs w:val="0"/>
                <w:color w:val="auto"/>
                <w:sz w:val="22"/>
                <w:szCs w:val="22"/>
                <w:lang w:val="en-US" w:eastAsia="zh-CN" w:bidi="ar"/>
              </w:rPr>
              <w:t>前端网络摄像机、考场网管平台相关软件、考场录像存储、SIP网关、解码分割矩阵为同一品牌；</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3、SIP网关采用模块化架构，完成SIP注册和SIP重定向、媒体转发功能，实现远程客户端的跨域（跨中心）音视频请求，实现多级巡查中心的互通，可实现与国家教育部考试中心网上巡查平台互联互通。</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4、采用linux系统，本身具有抗病毒和抗攻击能力，避免遭受病毒攻击。</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5、支持扩展GPS/北斗模块，支持GPS外置有源天线接口，保证环境较差时可以接收信号，支持串口接口，集成到SIP服务器中实现时间同步。</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6、SIP网关功能：能实现《国家教育考试网上巡查系统视频标准技术规范（2017版）》中规定的SIP协议与其它协议相互转换；</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7、设备支持与符合《国家教育考试网上巡查系统视频标准技术规范（2017版）》标准的设备或系统互联；</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8、支持标准SIP2.0；具有SIP代理、信令转发、路由、NAT穿透功能；支持远程用户、设备、视频点SIP URI映射；SIP URI统一命名规则、分级命名、联合定位；SIP URI组、用户、树形列表管理和SIP终端设备的接入认证功能；SIP注册用户账号管理；SIP用户的注册接入认证功能；SIP用户请求认证功能；SIP 终端访问呼叫过程控制；SIP 终端远程访问权限控制；建立SIP 网关间的信任关系，支持媒体流的汇聚；具有SIP URI地址解析，SIP重定向等功能。SIP注册部分性能：符合《国家教育考试网上巡查系统视频标准技术规范（2017版）》中定义的SIP注册描述；具有SIP URI组管理，SIP URI地址解析；具有域、子域管理；具有SIP地址解析；支持向上级注册功能。媒体转发服务功能：支持采用组播、分发或广播的方式将音视频流转发给用户。支持多级转发、支持带宽自动适应。支持IP、UDP、RTP、RTCP、SIP等网络协议；提供了极低延迟的控制信号转发、媒体流的分发功能；具有音、视频转发和路由控制功能。</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9、具有2个10M/100M/1000M自适应以太网接口；</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10、频率50Hz，单相3线制；</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11、整机功耗＜40瓦。</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12、机箱：19英寸标准2U机箱；</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Style w:val="138"/>
                <w:rFonts w:hint="eastAsia"/>
                <w:b w:val="0"/>
                <w:bCs w:val="0"/>
                <w:color w:val="auto"/>
                <w:sz w:val="22"/>
                <w:szCs w:val="22"/>
                <w:lang w:val="en-US" w:eastAsia="zh-CN" w:bidi="ar"/>
              </w:rPr>
              <w:t>13、</w:t>
            </w:r>
            <w:r>
              <w:rPr>
                <w:rStyle w:val="138"/>
                <w:b w:val="0"/>
                <w:bCs w:val="0"/>
                <w:color w:val="auto"/>
                <w:sz w:val="22"/>
                <w:szCs w:val="22"/>
                <w:lang w:val="en-US" w:eastAsia="zh-CN" w:bidi="ar"/>
              </w:rPr>
              <w:t>要求该设备</w:t>
            </w:r>
            <w:r>
              <w:rPr>
                <w:rStyle w:val="127"/>
                <w:b w:val="0"/>
                <w:bCs w:val="0"/>
                <w:color w:val="auto"/>
                <w:sz w:val="22"/>
                <w:szCs w:val="22"/>
                <w:lang w:val="en-US" w:eastAsia="zh-CN" w:bidi="ar"/>
              </w:rPr>
              <w:t>必须能接入菏泽市已建设的考试系统，并与菏泽市考试考管理平台进行统一管理，不改变客户原来的操作习惯</w:t>
            </w:r>
            <w:r>
              <w:rPr>
                <w:rStyle w:val="138"/>
                <w:b w:val="0"/>
                <w:bCs w:val="0"/>
                <w:color w:val="auto"/>
                <w:sz w:val="22"/>
                <w:szCs w:val="22"/>
                <w:lang w:val="en-US" w:eastAsia="zh-CN" w:bidi="ar"/>
              </w:rPr>
              <w:t>；</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14、新建设的考场实时图像可在菏泽市、山东省巡查监控中心进行多画面无障碍浏览。</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Style w:val="138"/>
                <w:rFonts w:hint="eastAsia"/>
                <w:b w:val="0"/>
                <w:bCs w:val="0"/>
                <w:color w:val="auto"/>
                <w:sz w:val="22"/>
                <w:szCs w:val="22"/>
                <w:lang w:val="en-US" w:eastAsia="zh-CN" w:bidi="ar"/>
              </w:rPr>
              <w:t>15、</w:t>
            </w:r>
            <w:r>
              <w:rPr>
                <w:rStyle w:val="138"/>
                <w:b w:val="0"/>
                <w:bCs w:val="0"/>
                <w:color w:val="auto"/>
                <w:sz w:val="22"/>
                <w:szCs w:val="22"/>
                <w:lang w:val="en-US" w:eastAsia="zh-CN" w:bidi="ar"/>
              </w:rPr>
              <w:t>该设备必须保证与</w:t>
            </w:r>
            <w:r>
              <w:rPr>
                <w:rStyle w:val="127"/>
                <w:b w:val="0"/>
                <w:bCs w:val="0"/>
                <w:color w:val="auto"/>
                <w:sz w:val="22"/>
                <w:szCs w:val="22"/>
                <w:lang w:val="en-US" w:eastAsia="zh-CN" w:bidi="ar"/>
              </w:rPr>
              <w:t>菏泽市考试平台，山东省综合考务平台对接</w:t>
            </w:r>
            <w:r>
              <w:rPr>
                <w:rStyle w:val="138"/>
                <w:b w:val="0"/>
                <w:bCs w:val="0"/>
                <w:color w:val="auto"/>
                <w:sz w:val="22"/>
                <w:szCs w:val="22"/>
                <w:lang w:val="en-US" w:eastAsia="zh-CN" w:bidi="ar"/>
              </w:rPr>
              <w:t>。根据山东省国家教育考试综合管理平台的功能要求需要配合巡查智能客户端使用以实现学校考点相关基础数据的上报、实现与综合管理平台考务数据的绑定、快速检索、可多维度考场巡查。</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考场录像存储服务器1</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138"/>
                <w:b w:val="0"/>
                <w:bCs w:val="0"/>
                <w:color w:val="auto"/>
                <w:sz w:val="22"/>
                <w:szCs w:val="22"/>
                <w:lang w:val="en-US" w:eastAsia="zh-CN" w:bidi="ar"/>
              </w:rPr>
            </w:pPr>
            <w:r>
              <w:rPr>
                <w:rStyle w:val="138"/>
                <w:b w:val="0"/>
                <w:bCs w:val="0"/>
                <w:color w:val="auto"/>
                <w:sz w:val="22"/>
                <w:szCs w:val="22"/>
                <w:lang w:val="en-US" w:eastAsia="zh-CN" w:bidi="ar"/>
              </w:rPr>
              <w:t>1、</w:t>
            </w:r>
            <w:r>
              <w:rPr>
                <w:rStyle w:val="127"/>
                <w:b w:val="0"/>
                <w:bCs w:val="0"/>
                <w:color w:val="auto"/>
                <w:sz w:val="22"/>
                <w:szCs w:val="22"/>
                <w:lang w:val="en-US" w:eastAsia="zh-CN" w:bidi="ar"/>
              </w:rPr>
              <w:t>符合《国家教育考试网上巡查系统视频标准技术规范（2017版）》和《山东省国家教育考试标准化考点建设技术标准（2022）》的技术要求。</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2、支持128路网络视频输入；最大输入带宽为512Mbps。</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3、支持接入视频1/4/6/8/9/16/25/32/36/64多画面分割预览，最大支持128路视频并发录像，录像分辨率支持4K、1080p、720p及以下分辨率。</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4、具有不少于16个SATA接口和1个eSATA接口，每个接口最大支持6TB硬盘，支持手动录像/抓图、定时录像/抓图、事件录像/抓图、移动侦测录像/抓图、报警录像/抓图等模式。</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5、支持16路同步回放，支持即时回放、常规回放、事件回放、标签回放、智能回放、分时段回放、图片回放、外部文件回放等模式；支持UPnP、SNMP、NTP、SADP、SMTP、NFS、iSCSI、PPPoE、DHCP网络协议。</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6、具有不少于2个HDMI和2个VGA输出接口，最大支持4K分辨率输出；具有1路音频输出、1路语音对讲输入接口、4个RJ45 10M/100M/1000M自适应以太网口、1个RS485、1个RS232、4个USB接口。</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7、具有16路报警输入，8路报警输出接口。</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8、支持标准SIP 2.0；支持SIP地址解析,信令转发；支持SIP URI统一命名规则。</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Style w:val="138"/>
                <w:rFonts w:hint="eastAsia"/>
                <w:b w:val="0"/>
                <w:bCs w:val="0"/>
                <w:color w:val="auto"/>
                <w:sz w:val="22"/>
                <w:szCs w:val="22"/>
                <w:lang w:val="en-US" w:eastAsia="zh-CN" w:bidi="ar"/>
              </w:rPr>
              <w:t>9、</w:t>
            </w:r>
            <w:r>
              <w:rPr>
                <w:rStyle w:val="138"/>
                <w:b w:val="0"/>
                <w:bCs w:val="0"/>
                <w:color w:val="auto"/>
                <w:sz w:val="22"/>
                <w:szCs w:val="22"/>
                <w:lang w:val="en-US" w:eastAsia="zh-CN" w:bidi="ar"/>
              </w:rPr>
              <w:t>新建设的考场实时图像可在</w:t>
            </w:r>
            <w:r>
              <w:rPr>
                <w:rStyle w:val="127"/>
                <w:b w:val="0"/>
                <w:bCs w:val="0"/>
                <w:color w:val="auto"/>
                <w:sz w:val="22"/>
                <w:szCs w:val="22"/>
                <w:lang w:val="en-US" w:eastAsia="zh-CN" w:bidi="ar"/>
              </w:rPr>
              <w:t>菏泽市、山东省巡查监控中心进行多画面无障碍浏览，该设备必须保证与菏泽市考试平台，山东省综合考务平台对接</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9"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考场录像存储服务器2</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127"/>
                <w:b w:val="0"/>
                <w:bCs w:val="0"/>
                <w:color w:val="auto"/>
                <w:sz w:val="22"/>
                <w:szCs w:val="22"/>
                <w:lang w:val="en-US" w:eastAsia="zh-CN" w:bidi="ar"/>
              </w:rPr>
            </w:pPr>
            <w:r>
              <w:rPr>
                <w:rStyle w:val="127"/>
                <w:b w:val="0"/>
                <w:bCs w:val="0"/>
                <w:color w:val="auto"/>
                <w:sz w:val="22"/>
                <w:szCs w:val="22"/>
                <w:lang w:val="en-US" w:eastAsia="zh-CN" w:bidi="ar"/>
              </w:rPr>
              <w:t>1、符合《国家教育考试网上巡查系统视频标准技术规范（2017版）》和《山东省国家教育考试标准化考点建设技术标准（2022）》的技术要求</w:t>
            </w:r>
            <w:r>
              <w:rPr>
                <w:rStyle w:val="138"/>
                <w:b w:val="0"/>
                <w:bCs w:val="0"/>
                <w:color w:val="auto"/>
                <w:sz w:val="22"/>
                <w:szCs w:val="22"/>
                <w:lang w:val="en-US" w:eastAsia="zh-CN" w:bidi="ar"/>
              </w:rPr>
              <w:t>。</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2、支持64路网络视频输入；最大输入带宽为320Mbps。</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3、支持接入视频1/4/6/8/9/16/25/32/36/64多画面分割预览，最大支持64路视频并发录像，录像分辨率支持4K、1080p、720p及以下分辨率。</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4、具有不少于8个SATA接口和1个eSATA接口，每个接口最大支持6TB硬盘，支持手动录像/抓图、定时录像/抓图、事件录像/抓图、移动侦测录像/抓图、报警录像/抓图等模式。</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5、支持16路同步回放，支持即时回放、常规回放、事件回放、标签回放、智能回放、分时段回放、图片回放、外部文件回放等模式；支持UPnP、SNMP、NTP、SADP、SMTP、NFS、iSCSI、PPPoE、DHCP网络协议。</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6、具有不少于2个HDMI和2个VGA输出接口，最大支持4K分辨率输出；具有2路音频输出、1路语音对讲输入接口、2个RJ45 10M/100M/1000M自适应以太网口、1个RS485、1个RS232、3个USB接口。</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7、具有16路报警输入，4路报警输出接口。</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8、支持标准SIP 2.0；支持SIP地址解析,信令转发；支持SIP URI统一命名规则。</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9、新建设的考场实时图像可在菏泽市、山东省巡查监控中心进行多画面无障碍浏览，该设备必须保证与菏泽市考试平台，山东省综合考务平台对接。</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存储硬盘</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监控级硬盘6T硬盘。3.5英寸，接口：SATA，硬盘转速：5400转，缓存：64MB</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块</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巡查系统管理软件（校级）</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138"/>
                <w:b w:val="0"/>
                <w:bCs w:val="0"/>
                <w:color w:val="auto"/>
                <w:sz w:val="22"/>
                <w:szCs w:val="22"/>
                <w:lang w:val="en-US" w:eastAsia="zh-CN" w:bidi="ar"/>
              </w:rPr>
            </w:pPr>
            <w:r>
              <w:rPr>
                <w:rStyle w:val="138"/>
                <w:b w:val="0"/>
                <w:bCs w:val="0"/>
                <w:color w:val="auto"/>
                <w:sz w:val="22"/>
                <w:szCs w:val="22"/>
                <w:lang w:val="en-US" w:eastAsia="zh-CN" w:bidi="ar"/>
              </w:rPr>
              <w:t>1、</w:t>
            </w:r>
            <w:r>
              <w:rPr>
                <w:rStyle w:val="127"/>
                <w:b w:val="0"/>
                <w:bCs w:val="0"/>
                <w:color w:val="auto"/>
                <w:sz w:val="22"/>
                <w:szCs w:val="22"/>
                <w:lang w:val="en-US" w:eastAsia="zh-CN" w:bidi="ar"/>
              </w:rPr>
              <w:t>符合《国家教育考试网上巡查系统视频标准技术规范（2017版）》及《山东省国家教育考试标准化考点建设技术标准（2022）》的技术要求。</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2、实现对本次所采购的标准化考场用网络摄像机、存储设备、数字矩阵、SIP网关及学校已有考试用设备的集中统一管理。</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3、具有巡查列表提交功能，上传列表可选，可将考务规定的巡查编码设备通道列表提交到SIP服务器；视频巡查实现分组巡查：支持考场，监控室、考务室、大门口独立创建分组进行巡查。</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4、支持对解码设备远程管理，实现远程解码上墙的内容控制、显示模式切换等功能。</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5、支持对存储设备远程管理，实现存储内容控制、录像策略制定等功能。</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6、软件平台支持多用户使用，用户登录时必须经过账号和密码的相关性、安全性验证，防止非法操作。</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7、巡查视频支持根据客户端性能指标自动进行高标清切换，能够保障视频的流畅性。</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8、可实现与山东省平台的软件同步无差异升级，新增加设备的考场实时图像可在省级巡查监控中心进行多画面无障碍浏览。</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Style w:val="127"/>
                <w:rFonts w:hint="eastAsia"/>
                <w:b w:val="0"/>
                <w:bCs w:val="0"/>
                <w:color w:val="auto"/>
                <w:sz w:val="22"/>
                <w:szCs w:val="22"/>
                <w:lang w:val="en-US" w:eastAsia="zh-CN" w:bidi="ar"/>
              </w:rPr>
              <w:t>9、</w:t>
            </w:r>
            <w:r>
              <w:rPr>
                <w:rStyle w:val="127"/>
                <w:b w:val="0"/>
                <w:bCs w:val="0"/>
                <w:color w:val="auto"/>
                <w:sz w:val="22"/>
                <w:szCs w:val="22"/>
                <w:lang w:val="en-US" w:eastAsia="zh-CN" w:bidi="ar"/>
              </w:rPr>
              <w:t>该软件必须保证与山东省综合考务平台对接</w:t>
            </w:r>
            <w:r>
              <w:rPr>
                <w:rStyle w:val="138"/>
                <w:b w:val="0"/>
                <w:bCs w:val="0"/>
                <w:color w:val="auto"/>
                <w:sz w:val="22"/>
                <w:szCs w:val="22"/>
                <w:lang w:val="en-US" w:eastAsia="zh-CN" w:bidi="ar"/>
              </w:rPr>
              <w:t>。根据山东省国家教育考试综合管理平台的功能要求需要配合巡查智能客户端使用以实现学校考点相关基础数据的上报、实现与综合管理平台考务数据的绑定、快速检索、可多维度考场巡查。根据山东省国家教育考试综合管理平台的功能要求需要配合巡查智能客户端使用以实现学校考点相关基础数据的上报、实现与综合管理平台考务数据的绑定及实现一键OSD功能设置、设备剔除非考试数据、快速检索、可多维度考场巡查、可存储可疑数据、可处理突发事件、异常数据可追溯。</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8"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LCD拼接屏</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1、尺寸：≥55英寸；</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2、分辨率：1920 × 1080@60 Hz（向下兼容）；</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3、视角：178°(水平)/ 178°(垂直)；</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4、响应时间：≤8 ms (G to G)；</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5、对比度：≥1200:1；</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6、亮度：≥500cd/㎡；</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7、物理拼缝：≤3.5mm；</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8、输入接口：≥HDMI × 1, DVI × 1, VGA × 1, CVBS × 1, USB × 1</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9输出接口：≥HDMI × 1, VGA × 1, CVBS × 1</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10、控制接口：≥RS232 IN × 1, RS232 OUT × 1</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11、寿命：≥60000 小时；</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12、边框宽度：≤2.3mm（左/上）,1.2mm（右/下）。</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块</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0"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LCD屏支架</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1、表面采用静电喷塑工艺，喷塑固化温度180-210度，涂层厚度80-100微米，对高防腐要求产品还可选择阴极电泳底漆工艺，防腐耐锈。</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2、颜色：黑色</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3、后拉杆长度：600-900mm</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4、弧度：0°</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5、开门及封板：底座前封板，含侧封板、顶盖板，无后门结构</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6、表面处理：静电喷塑</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7、底座高度：600/800/1000/1200mm</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8、材料：SPCC高强度钢板</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解码器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1、高清视音频解码器，采用Linux操作系统，运行稳定可靠；</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2、输入接口：支持一路VGA和一路DVI接入；</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3、输出接口：支持12路HDMI和6路BNC输出，HDMI（可以转DVI-D）（奇数口）输出分辨率最高支持4K（3840*2160@30HZ）；</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4、编码格式：支持H.265、H.264、MPEG4、MJPEG等主流的编码格式；</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5、封装格式：支持PS、RTP、TS、ES等主流的封装格式；</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6、音频解码：支持G.722、G.711A、G.726、G.711U、MPEG2-L2、AAC音频格式的解码；</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7、解码能力：支持12路1200W，或24路800W，或36路500W，或60路300W，或96路1080P及以下分辨率同时实时解码；</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8、画面分割：支持1、2、4、6、8、9、10、12、16、25、36画面分割显示；</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9、网络接口：2光口，2电口；</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10、音频接口：支持12路音频输出，1路对讲输入，1路对讲输出；</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11、串行接口：一个标准232接口（RJ45）、一个标准485接口；</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12、报警接口：8路报警输入，8路报警输出。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2"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网络数字矩阵画面分割器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138"/>
                <w:b w:val="0"/>
                <w:bCs w:val="0"/>
                <w:color w:val="auto"/>
                <w:sz w:val="22"/>
                <w:szCs w:val="22"/>
                <w:lang w:val="en-US" w:eastAsia="zh-CN" w:bidi="ar"/>
              </w:rPr>
            </w:pPr>
            <w:r>
              <w:rPr>
                <w:rStyle w:val="138"/>
                <w:b w:val="0"/>
                <w:bCs w:val="0"/>
                <w:color w:val="auto"/>
                <w:sz w:val="22"/>
                <w:szCs w:val="22"/>
                <w:lang w:val="en-US" w:eastAsia="zh-CN" w:bidi="ar"/>
              </w:rPr>
              <w:t>1、</w:t>
            </w:r>
            <w:r>
              <w:rPr>
                <w:rStyle w:val="127"/>
                <w:b w:val="0"/>
                <w:bCs w:val="0"/>
                <w:color w:val="auto"/>
                <w:sz w:val="22"/>
                <w:szCs w:val="22"/>
                <w:lang w:val="en-US" w:eastAsia="zh-CN" w:bidi="ar"/>
              </w:rPr>
              <w:t>符合《国家教育考试网上巡查系统视频标准技术规范（2017版）》及《山东省国家教育考试标准化考点建设技术标准（2022）》的技术要求；</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具有12路HDMI输出接口，输出分辨率支持1080P；支持96个解码通道，解码能力支持12路1200W@20fps，或24路800W@30fps，或36路500W@30fps，或60路300W@30fps，或96路1080P@30fps及以下分辨率；</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画面分割数支持1/4/6/8/9/12/16/25/36；具有2个RJ45 10M/100M/1000Mbps自适应以太网接口；2个光口100base-FX/1000base-X；支持光电自适应；</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具有12路音频输出接口、具有1个语音对讲接口；具有8路报警输入及8路报警输出接口；具有1个RS232串行接口、1个RS485串行接口；1个AC220V供电接口；</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支持标准SIP 2.0；支持SIP地址解析,信令转发；支持SIP URI统一命名规则；</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Style w:val="138"/>
                <w:b w:val="0"/>
                <w:bCs w:val="0"/>
                <w:color w:val="auto"/>
                <w:sz w:val="22"/>
                <w:szCs w:val="22"/>
                <w:lang w:val="en-US" w:eastAsia="zh-CN" w:bidi="ar"/>
              </w:rPr>
              <w:t>要求该设备必须能接入</w:t>
            </w:r>
            <w:r>
              <w:rPr>
                <w:rStyle w:val="127"/>
                <w:b w:val="0"/>
                <w:bCs w:val="0"/>
                <w:color w:val="auto"/>
                <w:sz w:val="22"/>
                <w:szCs w:val="22"/>
                <w:lang w:val="en-US" w:eastAsia="zh-CN" w:bidi="ar"/>
              </w:rPr>
              <w:t>菏泽市已建设的考试系统，并与菏泽市考试考管理平台进行统一管理，不改变客户原来的操作习惯；新建设的考场实时图像可在菏泽市、山东省巡查监控中心进行多画面无障碍浏览。该设备必须保证与菏泽市考试平台，山东省综合考务平台对接</w:t>
            </w:r>
            <w:r>
              <w:rPr>
                <w:rStyle w:val="138"/>
                <w:b w:val="0"/>
                <w:bCs w:val="0"/>
                <w:color w:val="auto"/>
                <w:sz w:val="22"/>
                <w:szCs w:val="22"/>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网络广播主机</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1、工业级工控机机箱设计；</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2、采用≥17寸工业级加固触摸屏，具有可抽拉隐藏式键盘、滑鼠板，简单易用的触摸屏操控；</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3、≥内置120G 硬盘，抗震动、抗摔、读写速度快、功耗低；</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4、安装广播系统服务器软件后，构成IP广播系统的管理控制中心，对广播系统各路音源信号控制，广播区域分配，终端信息的配置；</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5、可根据服务软件形成的电子地图，查看各路广播终端实时情况，尽在掌控；</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6、标准RJ45网络接口，有以太网口的地方即可接入，支持跨网段和跨路由。</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7、显示屏幕：≥17寸电阻式(四线)触控屏</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8、CPU：≥Intel I5</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9、硬盘：≥120G固态硬盘</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10、内存：≥4GB</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数字化IP网络广播客户端管理软件</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1.系统采用B/S架构，跨平台应用，方便维护、升级；</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2.涵盖传统广播系统功能：包含定时打铃任务，业务讲话广播、背景音乐、电台转播和消防报警广播等；可进行分区管理、广播权限等设置；</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3.节目资源库，维护系统所需各种音频文件，，供终端播放；</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4.统一管理系统内终端, 主界面显示各终端当前工作状态，远程批量调节终端音量；</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5.系统概览，可快速了解系统内终端在线情况、系统资源占用情况、各种类型任务状态等，对系统运行一目了然；</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6.支持离线广播，可将要播放的媒体文件提前推送到终端保存，终端按照预设置的播放策略进行播放。</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7.呼叫转移：系统具有占线转移、关机转移、无响应转移和人工转移的方案策略设定；</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8.后台录音：系统支持广播、对讲、监听内容录制在服务器硬盘中，录音文件支持多种方式查询，查询出的录音文件支持导出功能。</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9.支持文字广播：可直接将文字转换为音频文件，通过软件实现对终端的播放；</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10.用户管理：可添加删除用户帐户,并设定其角色，每个角色权限范围可自定义，包括功能权限和操作终端权限。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11.可实时查看已注册终端的实时状态（是否在线，播放内容及音量大小），并可对终端的编号、备注名称、音量大小进行配置和调整。</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校时器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 xml:space="preserve">支持GPS、北斗、上级NTP校时；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支持多网域校时；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处理器：ARM处理器；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同步精度：卫星同步精度纳秒级；NTP同步精度毫秒级；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内存：128M；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授时容量：500次/每秒；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授时精度：≤1ms；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授时频段：GPS: 1575.42±1.023MHz ，北斗: 1561.098±2.046MHz 。</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13</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消防采集器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1.32路报警输入接口(支持2种方式触发:开关量和24V输入)， 从消防中心接入信号；</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2.8路报警输出接口(常开触点，DC24V/1A)，可外接警灯，显示报警状态；</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3.系统中可使用任意多个IP网络报警接口，以增加输入口数目。</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4.自动发送报警信息到服务器，服务器执行相应报警播放任务。</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5.标准RJ45接口，有以太网口地方即可接入，支持跨网段和路由。</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14</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IP广播控制主机</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 xml:space="preserve">1、处理器：≥Intel I5-10500 处理器（3.1GHz主频，12M缓存） </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2、芯片组：Intel W480芯片组及以上 </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3、内 存： ≥16G DDR4 2933MHz内存</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4、硬 盘： ≥512G SSD 固态硬盘 </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5、显 卡： ≥Quadro P400 2GB 3mDP</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6、网 卡： 集成千兆网卡</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7、键 鼠：  USB键盘、鼠标</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8、接 口： 前置：≥5个USB接口（至少1个USB Type-C）、2个音频接口；后置：≥4个USB接口、串口、音频接口、2个DP接口 </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9、扩展槽位：1个PCIe Gen3.0x16、1个PCIe Gen 3.0x4（16长度）、1个PCIe Gen3.0x1；</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10、电 源：≥300W 节能电源</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11、安全特性：USB屏蔽技术，仅识别USB键盘、鼠标，无法识别USB读取设备，有效防止数据泄露（投标时提供功能性截屏）；</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12、显示器：≥21.5寸</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13、机箱：塔式标准机箱，≤17L。</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15</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寻呼器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 xml:space="preserve">1.专业寻呼话筒组合式外型、具有真彩液晶屏、≥20个按键及指示灯。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2.可外接≥16块快捷扩展板，用于快速广播和呼叫；</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3.采用高速工业级芯片、启动时间≤1秒。</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4.广播喊话可选择分区、具有红色提示灯、通话自动点亮。</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5.内置3W扬声器、实现双向通话和监听。</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6.支持显示来电去电中文名称、便于识别。</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7.可触发指定终端的外接警灯闪烁。</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8.具有音频线路输出口、可外接有源音箱扩音。</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9.具有音频线路输入口、可外接音源广播给目标终端。</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10.支持无服务器情况下的脱机广播(发起和接收)</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11.标准RJ45接口、有以太网口的地方即可接入、支持跨网段和跨路由。</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16</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前置放大器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1.12个通道、包括5路话筒、3路线路口、2路紧急输入、2路辅助输出。</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2.话筒1具有最高优先级、EMC为第二优先级、MIC2\3\4\5和线路输入为第三优先级</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3.每个通道均可独立调校音量、统一音量控制。</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2"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17</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纯后级功放</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1、额定功率：≥240W/500W/800W/1200W/1500W/2000W</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2、输出模式：定压输出100V±5%</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3、灵敏度：0dB</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4、信噪比：&gt;85dB</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5、1路平衡XLR输入，1路非平衡RCA输入，1路平衡XLR输出，1路非平衡RCA输出，可级联到下一级功放。</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6、设有音量调节功能。</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7、设有先进短路、过热、过载保护功能。</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8、线路设有限幅功能，可预防功放输出过大保护喇叭。</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9、支持多种指示灯显示(电源、信号、削峰、保护LED指示灯)。</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10、采用风机强制散热结构，可以让机器长期时间工作。</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18</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主备切换器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1、同时支持8路非平衡音频输入输出，8路功率信号输入输出。</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2、实时功放状态检测，并且以不同的LED颜色指示。</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3、设备可选择工作在单机或网络模式，默认为单机模式，网络模式优先，具备掉电模式记忆功能。</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4、具有以太网联机接口，配置PC软件，可集成第3方系统，实现集中监管，分散控制</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5、主备功放切换时间小于0.2S，音源无间断切换。</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6、功放通道切换能力最大支持100V,20A。</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7、8个主功放通道可设置启用或关闭检测功能，通道设置立即生效，不必重启设备。</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2"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19</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备份控制器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1.自动检测功放声频故障， 切换主功放和备用功放。</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2.每组功放可自由选择输入信号。</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3.支持4台主功放和1台备用功放.有4路主功放输入通道和1路备用功放输入通道，自动检测切换、切换时间&lt;0.3秒。</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4.4路功率信号输出，外接扬声器。</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5.LED指示主备功放工作状态、一目了然。</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显示器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sz w:val="22"/>
                <w:szCs w:val="22"/>
                <w:u w:val="none"/>
                <w:lang w:val="en-US"/>
              </w:rPr>
            </w:pPr>
            <w:r>
              <w:rPr>
                <w:rFonts w:hint="eastAsia" w:ascii="宋体" w:hAnsi="宋体" w:eastAsia="宋体" w:cs="宋体"/>
                <w:b w:val="0"/>
                <w:bCs w:val="0"/>
                <w:i w:val="0"/>
                <w:iCs w:val="0"/>
                <w:color w:val="auto"/>
                <w:kern w:val="0"/>
                <w:sz w:val="22"/>
                <w:szCs w:val="22"/>
                <w:u w:val="none"/>
                <w:lang w:val="en-US" w:eastAsia="zh-CN" w:bidi="ar"/>
              </w:rPr>
              <w:t>21.5液晶显示器，分辨率：1920*1080p</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21</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前置放大器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1.12个通道、包括5路话筒、3路线路口、2路紧急输入、2路辅助输出。</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2.话筒1具有最高优先级、EMC为第二优先级、MIC2\3\4\5和线路输入为第三优先级。</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3.每个通道均可独立调校音量、统一音量控制。</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22</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寻呼话筒</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 xml:space="preserve">1.专业寻呼话筒组合式外型、具有真彩液晶屏、≥20个按键及指示灯。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2.可外接≥16块快捷扩展板，用于快速广播和呼叫；</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3.采用高速工业级芯片、启动时间≤1秒。</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4.广播喊话可选择分区、具有红色提示灯、通话自动点亮。</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5.内置3W扬声器、实现双向通话和监听。</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6.支持显示来电去电中文名称、便于识别。</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7.可触发指定终端的外接警灯闪烁。</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8.具有音频线路输出口、可外接有源音箱扩音。</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9.具有音频线路输入口、可外接音源广播给目标终端。</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10.支持无服务器情况下的脱机广播(发起和接收)</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11.标准RJ45接口、有以太网口的地方即可接入、支持跨网段和跨路由。</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2"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23</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网络节目定时器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1、≥4.3寸TFT真彩屏显示，图形化界面，全触屏操作，电容屏，安卓手机操作体验；</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2、配有PC端编程软件，可以通过USB线跟PC接链接；</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3、RS485总线，串口COM二种通信协议，方便与外围其他系统对接；</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4、自带≥8G内存容量，可以增加到16G、32G内存，标配≥8G；</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5、歌曲名中文显示，触屏点击播放，一键点击播放，电源管理；</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6、具有监控功能，可监控本地设备和远程设备是否在线；</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7、可以插U盘播放，U盘插即可以播放，对U盘内歌曲名称，歌曲放置路径没有要求，可以点击上下曲播放；</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8、支持电脑编程，主机手动编程；</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9、含有≥4套程序，每套程序可编程≥120个定时点；</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10带FM调频功能，全频段自动搜台，手动搜台，自动保存，手动快捷保存，多种模式；</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24</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电源管理器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1.设有电子锁，可手动控制大于十路电源依次开启。</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2.可当传统电源时序器使用。</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3.设有十路交流电源输出。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25</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IP音频采集器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1.用于现场播音、壁挂式安装、4.3寸真彩液晶屏(中英文界面)，启动时间≤1秒。</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2.带8路音频输入(6路话筒输入，2路线路输入)，1路音频输出。</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3.通过网络对其他IP音频终端远程播放(分区或全区)，播音音量可调节。</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4.可点播服务器节目或插入SD卡，做为音源播放，并能控制暂停/快进/快退。</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5.一键式广播功能(具有8个可编程广播按键， 预设节目源和目标分区)， 并配有无线遥控器，用于一键广播。</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 标准RJ45网络接口、有以太网口的地方即可接入、支持跨网段和跨路由。</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2"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26</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调音台</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 xml:space="preserve">1、2路主输出，2路REC输出，1路效果输出，1路monitor输出，1路立体声耳机输出；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2、8路单声道输入通道；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3、DSP效果模块可供选择，一种为可调时间的21种效果模式，一种为全参数可调的和可提供参数固化的效果模式</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4、智能化显示面板精确显示各类数据，方便调节</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5、+48V幻像电源</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6、SMT 表面贴装工艺</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7、输入通道三段均衡，输出通道双七段均衡</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8、配LED DJ灯</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9、低噪音设计的外置电源适配器；</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10、效果器：DSP效果，每个有21种效果可调； </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27</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线柱音箱</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1.本产品是一款优质的前导式专业线性音柱音箱，3寸单元×4中高频单元，声音细腻，中高频清晰,语音表现优秀</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2.整体高密度中纤板,采用高强度细颗粒涂装。</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3.适用于会议室、报告厅、KTV包房、商业场所等。</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4、扬声器单元 3寸中音×4</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5、最大功率 320W</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6、额定功率（PHC） 160W</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2"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28</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专业功放</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 xml:space="preserve">1. 立体声/并联/单声道桥接模式；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2. 输入灵敏度0.775V和1.4V可选择；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3. XLR输入接口，喇叭接线柱输出接口；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 2个增益控制旋钮，1个电源开关，1个电源LED灯，2组信号灯分别</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表示对应声道处于工作、削波和故障状态；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 防止短路、空载、开/关机噪音、射频干扰保护电路。</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6、频率响应(1W) 20Hz-20KHz,+0/-1dB</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7、总谐波失真 ＜0.5%，20Hz-20KHz</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8、互调失真 = / ＜0.35%</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9、功率：500W</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10、保护线路 直流、过载、温度、啸叫、保护电路 防止短路、空载、开/关机噪音、无线电干扰保护电路</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11、通风 由前往后的空气对流机制</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12、冷却 内部空气强排散热，风扇冷却，快速调节，温度保护</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29</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有线话筒</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6"/>
              </w:numPr>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采用DC3V、DC5-9V、幻像48V供电，三种供电方式；</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2、轻触型电子开关和圆形网头灯环工作状态双重指示,明亮醒目。</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3、超心型指向性</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4、有效适音距离：10-50cm</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30</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反馈抑制器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1、96KHz采样频率，32-bit DSP处理器，24-bit A/D及D/A转换</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2、可通过面板的BYPASS/ON按键切换工作模式为直通或抑制</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3、全自动窄带陷波式反馈抑制</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4、每通道独立12个固定滤波器和12个动态滤波器,可通过“系统”键来设定固定或动态滤波器的个数</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5、可通过面板液晶上显示的48个啸叫点显示灯,显示当前啸叫点个数</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6、带有压缩,限幅,噪声门功能</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7、单机提供30组设备数据存储,存储压缩,限幅,噪声门的参数。关机后可保存关机前的啸叫抑制状态.</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8、可通过面板的“系统”键来设定密码锁定面板操作的部分或全部功能，以防止非相关人员的操作破坏机器的工作状态</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9、采用液晶屏和段码彩色液晶显示输出的精确数字电平表</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10、提供模拟输入输出或数字AES 3, 光纤，同轴输入输出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31</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电脑</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 xml:space="preserve">CPU： ≥Intel Core i5-10500六核处理器 </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 xml:space="preserve">主板：≥intel 400系列及以上芯片组 </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内存：≥8G DDR4 2666MHz 内存，提供双内存槽位</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显卡：集成显卡</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声卡：集成声卡，支持 5.1 声道（提供前 2 后 3 共 5 个音频接</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口，其中前置包含 1 个 2 和 1 接口）</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硬盘：≥1T+256GSSD固态硬盘；</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网卡：集成 10/100/1000M 以太网卡；</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扩展槽：1 个 PCI-E*16、2 个 PCI-E*1</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接口：10 个 USB 接口(前置 6 个 USB 3.2 Gen1，后置 4 个 USB</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2.0)、1组 PS/2 接口、1 个串口、VGA+HDMI 接口（VGA 非转接）；</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电源： 110/220V 180W 节能电源</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显示器：≥21.5寸显示器，具有低蓝光认证</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32</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核心交换机</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28个10/100/1000Base-T自适应以太网端口，其中8个是combo口，4个万兆SFP+口，交换容量598Gbps；包转发率222Mpps；支持基于端口的VLAN。</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33</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空调</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3匹， 立式，冷暖两用， 能效不低于3级</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2"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34</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视频会议终端</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1、采用硬件分体式结构,嵌入式操作系统，非PC架构、非工控机架构。</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2、会议速率支持128Kbps—8Mbps，支持ITU-T H.323和IETF SIP通信标准。</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3、支持H.261、H.263、H.263+、H.264、H.264 High Profle、MPEG-4等视频编解码协议，支持H.239和BFCP标准双流协议。</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4、支持G.711、G.722、G.728、G.729、G.722.1AnnexC、G.719、MPEG4-AAC LC/LD、MP3等音频协议，可达到20KHz以上的宽频效果。</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5、支持1080p60、1080p30、720p60、720p30高清视频编解码，并向下兼容4CIF、CIF标清图像格式。</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6、支持动态图像双流和PC图像双流两种功能，在保证主流视频1080p 60fps前提下，第二路视频流不低于1080P或UXGA@30fps。</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提供不少于3路独立的非私有高清视频输入接口、2路高清输出接口，其中需包含1路3G-SDI高清输入接口满足高清摄像机图像到终端的长距离无损传输；提供1路独立的标清视频输入/输出接口，不得采用私有非标接口或转接线缆实现。</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8、提供不少于4路音频输入接口，4路音频输出接口，支持数字麦克风音频输入接口。</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支持1个RJ11电话接口，支持空闲或会议中电话接入。</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9、系统具有字幕叠加功能，可通过终端控制系统在本地图像上不同位置设置叠加中文会场名、横幅、滚动字幕。</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10、支持在终端控制软件对本地和远端会场图像进行实时监控及预览。</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11、PC安装双流软件后，可以通过无线网络将PC桌面图像发送至终端作为辅流图像源传至远端，图像清晰流畅。</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12、终端在空闲状态下，与外置的数字录像点播服务器配合，支持终端点播功能。</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13、终端支持画中画，画外画，支持单屏三显，终端可以通过菜单中的日程或预约会议列表加入会议。</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14、具有基本的系统检测诊断功能，包括呼叫状态显示、网络信息统计、本端音视频自环测试、日志、远程升级维护等功能。</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15、提供不少于2个10/100/1000M以太网接口，支持网口热备份。</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Style w:val="138"/>
                <w:b w:val="0"/>
                <w:bCs w:val="0"/>
                <w:color w:val="auto"/>
                <w:sz w:val="22"/>
                <w:szCs w:val="22"/>
                <w:lang w:val="en-US" w:eastAsia="zh-CN" w:bidi="ar"/>
              </w:rPr>
              <w:t>16、具备较强的网络抗丢包能力，</w:t>
            </w:r>
            <w:r>
              <w:rPr>
                <w:rStyle w:val="127"/>
                <w:b w:val="0"/>
                <w:bCs w:val="0"/>
                <w:color w:val="auto"/>
                <w:sz w:val="22"/>
                <w:szCs w:val="22"/>
                <w:lang w:val="en-US" w:eastAsia="zh-CN" w:bidi="ar"/>
              </w:rPr>
              <w:t>在IP网络达到12%丢包时声音清晰、图像流畅、无马赛克，25%的丢包率情况下视频会议仍可进行，70%的丢包率情况下声音基本清晰流畅</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35</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视频会议摄像机</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1、支持壁装、三脚架安装或吊顶安装等多种安装方式，可按用户需求进行安装。</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2、镜头图像传感器采用不小于1/2.8" 图像传感器，支持1080p60、1080p50、1080p30、1080p25、720p60、720p50等高清信号输出。</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3、支持不小于12倍光学变焦，支持广角镜头，水平视角不小于72°。</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4、视频输出接口具备SDI、DVI接口，支持RS422控制接口，支持标准VISCA协议，支持摄像机通过控制口RS422实现菊花链控制，菊花链控制摄像机不小于7个。</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5、支持中文OSD菜单，可在OSD中对摄像机进行设置。</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6、水平转动范围：≥±160°，垂直转动范围：≥-90°～50°</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7、支持自带显示屏，可方便显示视频输出分辨率。</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8、支持根据安装方向自动翻转图像。</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9、支持保存不少于255个预置位。</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8"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36</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UPS主机</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1、当前容量：单进单出UPS，10KVA机器外观为黑色，</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2、UPS电源要求采用LCD\LED显示操作面板，中/英文双语可选，适合中文使用者或者英文使用者查看数据和进行操作，控制显示、充电、旁路功能。</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3、设备电气性能</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3.1输入电压范围 :176-264v</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3.2输入功率因数≥0.999</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3.3输入电流谐波成份：100%非线性负载：≤3. 2% ， 50%非线性负载：≤3. 7% ，30%非线性负载：≤6.2% 。</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 xml:space="preserve">3.5输出电压：输出电压稳压精度：220V±1% </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3.6输出波形失真度：正常工作</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3.7电压瞬态恢复时间：≤40ms</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4、输出功因≥1，（1kVA=1kW），以便与负载完美匹配。</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5、 UPS具备自老化功能，有效解决现场调试及老化的负载问题，减少投资。</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6、系统效率高，智能风扇设计，省电、运行成本低。</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8"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37</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铅酸蓄电池</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1、外观要求：无变形、漏液、裂纹及污迹；标识清晰；</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2、结构要求：正负极端子有明显标志，便于链接；</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3、阻燃性能：符合GB/T2408-2008中的第8.3.3条FH-1(水平级）和第9.3.2条FV-0(垂直级）的要求；</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4、气密性：能承受50KPa正压或负压而不破裂、不开胶，压力释放后壳体无残余变形；</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5、大电流放电：以30I10放电3min，极柱不熔断，内部汇流排不熔断，外观不出现异常；</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6、防酸雾性能：对完全充放电后的电池以0.2I10A，连续再充4小时，PH值应呈中性；</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 xml:space="preserve">7、耐过充电能力：完全充电后电池以0.3I10A连续充电160小时，无变形，无漏液； </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8、端电压均衡性：开路状态下，最高与最低电压差值≤37mV；浮充状态：进入浮充24小时后，端电压差值≤30mV；放电状态：端电压差值≤0.213mV，电池间连接电压降≤4.7mV</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9、防爆性能：充电过程中，遇到明火，内部不引爆，不引燃；</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10、封口剂性能：环境温度在-30℃~+65℃之间，封口剂无裂纹与溢流现象；</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11、过度放电恢复能力：过度放电后容量恢复值≥104%</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12、再充电性能：恒压充电24小时的再充电能力因素≥95. 0%；</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块</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38</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电池柜</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1、组装柜4层。</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2、带电池连接线、带空开。</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3、为减少机房空间浪费，柜体尺寸不大于470*787*1205</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宗</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39</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机柜</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尺寸（宽*深*高）：600*1000*2000（42U），前单后双网孔门，5个托盘，1个10A6口PDU排插，SPCC优质冷轧钢板制作；表面脱脂、酸洗、磷化、静电喷塑处理。</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40</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操作台</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监控用两联操作台及椅子两把</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48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前端设备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1"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室内摄像头</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138"/>
                <w:b w:val="0"/>
                <w:bCs w:val="0"/>
                <w:color w:val="auto"/>
                <w:sz w:val="22"/>
                <w:szCs w:val="22"/>
                <w:lang w:val="en-US" w:eastAsia="zh-CN" w:bidi="ar"/>
              </w:rPr>
            </w:pPr>
            <w:r>
              <w:rPr>
                <w:rStyle w:val="138"/>
                <w:b w:val="0"/>
                <w:bCs w:val="0"/>
                <w:color w:val="auto"/>
                <w:sz w:val="22"/>
                <w:szCs w:val="22"/>
                <w:lang w:val="en-US" w:eastAsia="zh-CN" w:bidi="ar"/>
              </w:rPr>
              <w:t>1、</w:t>
            </w:r>
            <w:r>
              <w:rPr>
                <w:rStyle w:val="127"/>
                <w:b w:val="0"/>
                <w:bCs w:val="0"/>
                <w:color w:val="auto"/>
                <w:sz w:val="22"/>
                <w:szCs w:val="22"/>
                <w:lang w:val="en-US" w:eastAsia="zh-CN" w:bidi="ar"/>
              </w:rPr>
              <w:t>符合《国家教育考试网上巡查系统视频标准技术规范（2017版）》及《山东省国家教育考试标准化考点建设技术标准（2022）》的技术要求；</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2、400万1/3"CMOS ICR日夜型半球型网络摄像机；</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3、最小照度：0.07Lux @(F1.2，AGC ON) ，0 Lux with IR；</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4、镜头：2.8mm(4mm，6mm，8mm，12mm可选)，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5、水平视场角：93°；</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6、调整角度：水平：0°～355°，垂直：0°～75°；</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7、宽动态范围：120dB；视频压缩标准H.265/H.264/MJPEG；</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8、最大图像尺寸：2560×1440；</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9、存储功能：支持Micro SD(即TF卡)/SDHC /SDXC卡断网本地存储；</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10、通讯接口：1 个RJ45 10M/100M自适应以太网口；</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11、音频接口：1对音频输入（Line in）/输出接口（插线式）；</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12、报警输入：1路；报警输出：1路（三极管：超过30毫安建议加继电器）；</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13、电源供应：DC12V±25%/PoE(802.3af)；</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14、功耗：DC12V：5W Max；PoE：6.5W Max；</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15、红外照射距离：10-30米；</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16、防护等级：≥IP67；</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17、防暴等级：≥IK10；</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18、支持标准SIP 2.0；支持SIP地址解析,信令转发；支持SIP URI统一命名规则；</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19、含摄像机电源适配器和支架；</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Style w:val="138"/>
                <w:rFonts w:hint="eastAsia"/>
                <w:b w:val="0"/>
                <w:bCs w:val="0"/>
                <w:color w:val="auto"/>
                <w:sz w:val="22"/>
                <w:szCs w:val="22"/>
                <w:lang w:val="en-US" w:eastAsia="zh-CN" w:bidi="ar"/>
              </w:rPr>
              <w:t>20、</w:t>
            </w:r>
            <w:r>
              <w:rPr>
                <w:rStyle w:val="138"/>
                <w:b w:val="0"/>
                <w:bCs w:val="0"/>
                <w:color w:val="auto"/>
                <w:sz w:val="22"/>
                <w:szCs w:val="22"/>
                <w:lang w:val="en-US" w:eastAsia="zh-CN" w:bidi="ar"/>
              </w:rPr>
              <w:t>要</w:t>
            </w:r>
            <w:r>
              <w:rPr>
                <w:rStyle w:val="127"/>
                <w:b w:val="0"/>
                <w:bCs w:val="0"/>
                <w:color w:val="auto"/>
                <w:sz w:val="22"/>
                <w:szCs w:val="22"/>
                <w:lang w:val="en-US" w:eastAsia="zh-CN" w:bidi="ar"/>
              </w:rPr>
              <w:t>求该设备必须能接入菏泽市已建设的考试系统，并与菏泽市考试考管理平台进行统一管理，不改变客户原来的操作习惯；新建设的考场实时图像可在菏泽市、山东省巡查监控中心进行多画面无障碍浏览。该设备必须保证与菏泽市考试平台，山东省综合考务平台对接</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拾音器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Style w:val="138"/>
                <w:b w:val="0"/>
                <w:bCs w:val="0"/>
                <w:color w:val="auto"/>
                <w:sz w:val="22"/>
                <w:szCs w:val="22"/>
                <w:lang w:val="en-US" w:eastAsia="zh-CN" w:bidi="ar"/>
              </w:rPr>
            </w:pPr>
            <w:r>
              <w:rPr>
                <w:rStyle w:val="138"/>
                <w:b w:val="0"/>
                <w:bCs w:val="0"/>
                <w:color w:val="auto"/>
                <w:sz w:val="22"/>
                <w:szCs w:val="22"/>
                <w:lang w:val="en-US" w:eastAsia="zh-CN" w:bidi="ar"/>
              </w:rPr>
              <w:t>1、</w:t>
            </w:r>
            <w:r>
              <w:rPr>
                <w:rStyle w:val="127"/>
                <w:b w:val="0"/>
                <w:bCs w:val="0"/>
                <w:color w:val="auto"/>
                <w:sz w:val="22"/>
                <w:szCs w:val="22"/>
                <w:lang w:val="en-US" w:eastAsia="zh-CN" w:bidi="ar"/>
              </w:rPr>
              <w:t>符合《国家教育考试网上巡查系统视频标准技术规范（2017版）》及《山东省国家教育考试标准化考点建设技术标准（2022）》的技术要求；</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2、监听面积：150㎡/7m；</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3、指向性：全指向；</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4、信噪比：≥60dB；</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5、驻极体最大承受声压：120dB；</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6、信号处理电路：低噪声可变增益放大器、环境噪声抑制。</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室外摄像头</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1、符合《国家教育考试网上巡查系统视频标准技术规范（2017版）》及《山东省国家教育考试标准化考点建设技术标准（2022）》的技术要求；</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2、400万筒型网络摄像机，采用1/2.7" CMOS传感器；</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3、最小照度可达0.005Lux，0Lux with IR；</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4、采用2.7mm-12mm镜头；</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5、水平视场角93°～35°；</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6、视频编码标准支持H.265/H.264，音频编码标准支持G.711/MP2L2/AAC；</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7、最大图像尺寸2560×1440；支持Micro SD/SDHC/SDXC卡(128G)本地存储；</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8、具有1个RJ45 10M/100M自适应以太网口、1对音频输入/输出接口、2对报警输入/输出接口；</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9、支持DC12V/PoE(802.3af)供电；</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10、红外照射距离30米；</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11、防护等级为≥IP67；</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12、支持标准SIP 2.0；支持SIP地址解析,信令转发；</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13、支持SIP URI统一命名规则；</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14、含摄像机电源适配器和支架。</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15、要求该设备必须能接入菏泽市已建设的考试系统，并与菏泽市考试考管理平台进行统一管理，不改变客户原来的操作习惯；新建设的考场实时图像可在菏泽市、山东省巡查监控中心进行多画面无障碍浏览。该设备必须保证与菏泽市考试平台，山东省综合考务平台对接</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美观盒</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用于安装摄像机、拾音器电源等配件。</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IP网络音箱</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 一体化壁挂式设计、整合网络音频解码，数字功放及音箱。</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 采用高速工业级双核(ARM+DSP)芯片、启动时间≤1秒。</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 内置高保真扬声器和2×10W(8Ω)立体声D类功率放大器。</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 内置回路检测功能、可远程监听扬声器工作状态、轻松维护。</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 服务软件远程调节输出音量、并可在本地用旋钮调节线路输入音量。</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 标准RJ45网络接口、有以太网口的地方即可接入、支持跨网段和跨路由。</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 可选配：定压备份模块：</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7.1.实现接入100V定压广播线路作为备用、符合教委高考须有备用系统要求。</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7.2 当网络异常时，自动或手动从“数字网络广播”切换到“模拟定压广播” 。</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 可选配：无线收发模块及2.4G教学无线话筒：</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8.1无线收发模块与2.4G无线话筒、实现开机自动配对。</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8.2通过无线话筒内置咪头、可实现本地扩声、音量大小可在话筒上调节。</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8.3 具备教学无线红外激光笔功能，外观小巧，待机约36小时，扩声约12小时。</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智能电波表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1、平均瞬时日差：-0.5——+0.5s/d，</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2、平均功耗电流≤180μA，</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3、定位时间≤6分钟，指示校准≤6分钟.</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4、接收灵敏度：在信号强度50μv/m时，电波表能在10min内收到时间信号并准确校准指示时间；</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5、电波钟在正常条件下不停走，零、部、组件不自行脱落；</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具有自动校正及时间记忆功能，即：每24小时自动接收国家授时中心发射的标准时码信号，然后把接收来的标准时间和智能电波表自身指示的时间进行对比，并将自身指示的时间自动校对到标准时间；电波钟每天都会自动接收标准时间信号并校时.</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7、电波钟在-10——50℃温度范围及DC2.6V——3.4V电压范围内不停走，并能接收时间信号和校准指示时间。</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8、夜间停秒及静音扫描功能：电波钟在夜间12：00至早6：00停秒，节能、省电；指针运行时连续运行，基本无噪声。</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2"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手持金属探测仪</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1、灵敏度选择：可根据现场要求调节灵敏度，有高、低二种灵敏度选择；</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2、报警提醒：具有灯光、声音、振动等方式进行报警提示；</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3、换电提醒：低耗电量，可连续操作40小时,电池用完时有自动连续的声音或振动告警，提醒用户更换电池；</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4、探测灵敏度：探测人民币一元硬币，探测距离≥5CM；</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5、设备电源：9伏方块电池；</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人证核验终端</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1、设备外观：采用10.1英寸LCD触摸显示屏；200万像素双目宽动态摄像头；采用星光级图像传感器，可适应夜间低照度环境；人脸识别距离可大于2m，支持照片视频防假；</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2、设备容量：支持50000张人脸白名单，1：N人脸比对时间≤0.2s/人；支持100000笔记录存储；</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3、认证方式：支持人脸识别，设备自带身份证阅读器模块，支持刷卡、刷卡+人脸、人证比对、自动模式（人脸、人证自动切换）；</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4、通讯方式：上行通讯为TCP/IP；支持WIFI传输；</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5、视频对讲：支持视频语音对讲功能；可接NVR，支持视频预览；</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6、设备接口： LAN*1；RS485*1；韦根*1；USB *1；门磁*1、开门按钮*1、报警输入*2；电锁*1、报警输出*1；</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7、工作电压：220V电源，落地支架背面尾部有接口；</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8、使用环境：室内，底座不防水；</w:t>
            </w:r>
          </w:p>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9、安装方式：落地安装；</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8"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无线信号屏蔽器</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1、可有效屏蔽手机2G/3G/4G/5G、蓝牙、2.4GWIFI及与手机嫁接的无线隐形耳机、骨传导耳机等作弊信号。</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2、采用反射集束式天线波瓣设计，支持UHF、VHF、Lora侦测屏蔽等多种频率的增配和升级。</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3、常规电磁环境下屏蔽半径25米以上。</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4、外壳防护等级不低于GB4208-2008标准中IP20的规定。</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5、噪声等级应不大于45dB,</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6、可通过扩展电路或控制模块实现基于TCP/IP，485总线，电力线或红外线的远程监视与控制功能。并提供检测报告证明。</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7、产品符合电磁环境控制限值（GB8072-2014）的标准规定。</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8、射频电磁场辐射应符合GB/T17626.3-2006标准规定。</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采用ACG主动时频闸控技术，通过对IBPC工作信道的有效控制，可实现仅对目标考场屏蔽区域信号进行控制，对考场外没有干扰，更不会干扰到基站正常工作。仅屏蔽发射基站的下行频率而不影响上行频率。并可以进行有效的手动干预屏蔽器的工作范围与工作功率。</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10、产品需通过省级产品质量监督检验部门的严格检测。</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48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其他设备及辅材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交换机1</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24个10/100/1000Mbps自适应电口，2个10/100/1000Mbps光口。</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交换机2</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24口千兆POE交换机，千兆网络接入设计</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线速转发</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存储转发交换方式</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交换机3</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8口千兆POE交换机，千兆网络接入设计</w:t>
            </w:r>
          </w:p>
          <w:p>
            <w:pPr>
              <w:keepNext w:val="0"/>
              <w:keepLines w:val="0"/>
              <w:widowControl/>
              <w:suppressLineNumbers w:val="0"/>
              <w:jc w:val="left"/>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线速转发</w:t>
            </w:r>
          </w:p>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存储转发交换方式</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4</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六类网线</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国标六类网线</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箱</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壁挂机柜</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交换机壁挂机柜</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光模块</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光模块-SFP-GE-单模模块-(1310nm,10km,LC接口)。</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对</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7</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辅材</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线槽、扎带、水晶头、支架、空开、电源线、光纤、各种跳线、延长线等</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宗</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防盗门窗</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按实际现场需求定制</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施工费</w:t>
            </w:r>
          </w:p>
        </w:tc>
        <w:tc>
          <w:tcPr>
            <w:tcW w:w="68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安装调试、省市平台对接等</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宗</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r>
    </w:tbl>
    <w:p>
      <w:pPr>
        <w:pStyle w:val="2"/>
        <w:rPr>
          <w:rFonts w:hint="default"/>
          <w:color w:val="auto"/>
          <w:highlight w:val="none"/>
          <w:lang w:val="en-US" w:eastAsia="zh-CN"/>
        </w:rPr>
      </w:pPr>
      <w:r>
        <w:rPr>
          <w:rFonts w:hint="eastAsia"/>
          <w:color w:val="auto"/>
          <w:highlight w:val="none"/>
          <w:lang w:val="en-US" w:eastAsia="zh-CN"/>
        </w:rPr>
        <w:t>二、项目要求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1、成交供应商应按照磋商文件要求及时供货安装。要求完全符合采购规定的质量、规格和性能的要求。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sz w:val="24"/>
          <w:szCs w:val="24"/>
          <w:highlight w:val="none"/>
        </w:rPr>
      </w:pPr>
      <w:r>
        <w:rPr>
          <w:rFonts w:hint="eastAsia" w:hAnsi="宋体" w:cs="宋体"/>
          <w:color w:val="auto"/>
          <w:sz w:val="24"/>
          <w:szCs w:val="24"/>
          <w:highlight w:val="none"/>
          <w:lang w:val="en-US" w:eastAsia="zh-CN"/>
        </w:rPr>
        <w:t>2、</w:t>
      </w:r>
      <w:r>
        <w:rPr>
          <w:rFonts w:ascii="宋体" w:hAnsi="宋体" w:eastAsia="宋体" w:cs="宋体"/>
          <w:color w:val="auto"/>
          <w:sz w:val="24"/>
          <w:szCs w:val="24"/>
          <w:highlight w:val="none"/>
          <w:lang w:val="en-US" w:eastAsia="zh-CN"/>
        </w:rPr>
        <w:t>为保证考试系统的稳定性和安全性，要求前端网络摄像机、考场网管平台相关软件、考场录像存储、SIP网关、解码分割矩阵为同一品牌</w:t>
      </w:r>
      <w:r>
        <w:rPr>
          <w:rFonts w:hint="eastAsia" w:hAnsi="宋体" w:cs="宋体"/>
          <w:color w:val="auto"/>
          <w:sz w:val="24"/>
          <w:szCs w:val="24"/>
          <w:highlight w:val="none"/>
          <w:lang w:val="en-US" w:eastAsia="zh-CN"/>
        </w:rPr>
        <w:t>.</w:t>
      </w:r>
      <w:r>
        <w:rPr>
          <w:rFonts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sz w:val="24"/>
          <w:szCs w:val="24"/>
          <w:highlight w:val="none"/>
        </w:rPr>
      </w:pPr>
      <w:r>
        <w:rPr>
          <w:rFonts w:hint="eastAsia" w:hAnsi="宋体" w:cs="宋体"/>
          <w:color w:val="auto"/>
          <w:sz w:val="24"/>
          <w:szCs w:val="24"/>
          <w:highlight w:val="none"/>
          <w:lang w:val="en-US" w:eastAsia="zh-CN"/>
        </w:rPr>
        <w:t>3</w:t>
      </w:r>
      <w:r>
        <w:rPr>
          <w:rFonts w:ascii="宋体" w:hAnsi="宋体" w:eastAsia="宋体" w:cs="宋体"/>
          <w:color w:val="auto"/>
          <w:sz w:val="24"/>
          <w:szCs w:val="24"/>
          <w:highlight w:val="none"/>
        </w:rPr>
        <w:t>、所有产品应是全新的、未使用过的，享受国家电子产品三包政策，质保期为</w:t>
      </w:r>
      <w:r>
        <w:rPr>
          <w:rFonts w:hint="eastAsia" w:hAnsi="宋体" w:cs="宋体"/>
          <w:color w:val="auto"/>
          <w:sz w:val="24"/>
          <w:szCs w:val="24"/>
          <w:highlight w:val="none"/>
          <w:lang w:val="en-US" w:eastAsia="zh-CN"/>
        </w:rPr>
        <w:t>三</w:t>
      </w:r>
      <w:r>
        <w:rPr>
          <w:rFonts w:ascii="宋体" w:hAnsi="宋体" w:eastAsia="宋体" w:cs="宋体"/>
          <w:color w:val="auto"/>
          <w:sz w:val="24"/>
          <w:szCs w:val="24"/>
          <w:highlight w:val="none"/>
        </w:rPr>
        <w:t>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sz w:val="24"/>
          <w:szCs w:val="24"/>
          <w:highlight w:val="none"/>
        </w:rPr>
      </w:pPr>
      <w:r>
        <w:rPr>
          <w:rFonts w:hint="eastAsia" w:hAnsi="宋体" w:cs="宋体"/>
          <w:color w:val="auto"/>
          <w:sz w:val="24"/>
          <w:szCs w:val="24"/>
          <w:highlight w:val="none"/>
          <w:lang w:val="en-US" w:eastAsia="zh-CN"/>
        </w:rPr>
        <w:t>4</w:t>
      </w:r>
      <w:r>
        <w:rPr>
          <w:rFonts w:ascii="宋体" w:hAnsi="宋体" w:eastAsia="宋体" w:cs="宋体"/>
          <w:color w:val="auto"/>
          <w:sz w:val="24"/>
          <w:szCs w:val="24"/>
          <w:highlight w:val="none"/>
        </w:rPr>
        <w:t>、所有商品的生产、制造等各项技术标准，应当符合国家标准或行业标准；如因供应商包装不当以及其它原因造成损坏或丢失，应由供应商负责补缺。如发现货物短缺、质次、损坏、产地和规格不符等问题，应作详细记录，供应商应立即无条件为采购方调换或补齐，同时由供应商承担因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hAnsi="宋体" w:cs="宋体"/>
          <w:color w:val="auto"/>
          <w:sz w:val="24"/>
          <w:szCs w:val="24"/>
          <w:highlight w:val="none"/>
          <w:lang w:val="en-US" w:eastAsia="zh-CN"/>
        </w:rPr>
        <w:t>5</w:t>
      </w:r>
      <w:r>
        <w:rPr>
          <w:rFonts w:ascii="宋体" w:hAnsi="宋体" w:eastAsia="宋体" w:cs="宋体"/>
          <w:color w:val="auto"/>
          <w:sz w:val="24"/>
          <w:szCs w:val="24"/>
          <w:highlight w:val="none"/>
        </w:rPr>
        <w:t xml:space="preserve">、成交供应商免费为采购人提供中文操作手册并培训操作人员，其中包括讲解产品的结构以及原理、产品的使用以及维护保养，直至操作人员能够独立的操作使用。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6、供应商的报价中应包括完成本项目所需要的所有费用，是货物到达指定地点并验收合格所包含的所有费用。报价含包括质保期内的（备品备件、易损件、专用工具等）的制造、包装、保险、运输、仓储、安装（含地基）、调试、验收、培训、售后服务及技术支持等相关服务的所有费用。供应商充分考虑本项目合同实施期间可能发生的一切费用，并承担由此而带来的风险。凡供应商在报价中未列明但又为本次采购所必备的项目或遗漏项目，采购人将一律视为已包括在其报价中，在合同执行中将不予考虑。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bCs/>
          <w:color w:val="auto"/>
          <w:sz w:val="36"/>
          <w:szCs w:val="36"/>
          <w:highlight w:val="none"/>
        </w:rPr>
        <w:t>第六部分  附件</w:t>
      </w:r>
      <w:bookmarkEnd w:id="83"/>
      <w:bookmarkEnd w:id="84"/>
    </w:p>
    <w:p>
      <w:pP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附件：投标函</w:t>
      </w:r>
    </w:p>
    <w:p>
      <w:pPr>
        <w:rPr>
          <w:color w:val="auto"/>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 标 函</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山东华标招标有限公司：</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1"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经研究，我们决定参加项目编号为</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 xml:space="preserve">    项目</w:t>
      </w:r>
      <w:r>
        <w:rPr>
          <w:rFonts w:hint="eastAsia" w:asciiTheme="minorEastAsia" w:hAnsiTheme="minorEastAsia" w:eastAsiaTheme="minorEastAsia" w:cstheme="minorEastAsia"/>
          <w:color w:val="auto"/>
          <w:sz w:val="24"/>
          <w:szCs w:val="24"/>
          <w:highlight w:val="none"/>
        </w:rPr>
        <w:t>投标并报价。为此，我方郑重声明以下诸点，并负法律责任。</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1、我方提交的响应文件，电子版响应文件一份。</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2、如果我方的响应文件被接受，我们将履行竞争性磋商文件中规定的每一项要求，并按我方响应文件中的承诺按期、保质、保量完成项目的实施。</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3、我方已详细检查所有响应文件、附件以及所提供的参考文件，有模糊和误解产生的一切后果，由我方自负。</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4、响应文件在公开报价后90日内有效。</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5、我们同意按照竞争性磋商文件的要求，提供与递交响应文件有关的数据和资料。</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6、我方愿按《中华人民共和国合同法》履行自己的全部责任。</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7、我们理解，最低报价不是</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的唯一条件，你们有选择成交供应商的权利。</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8、与本投标有关所有往来信函，应按下列地址进行：</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供应商全称（公章）：</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rPr>
          <w:rFonts w:asciiTheme="minorEastAsia" w:hAnsiTheme="minorEastAsia" w:eastAsiaTheme="minorEastAsia" w:cstheme="minorEastAsia"/>
          <w:color w:val="auto"/>
          <w:sz w:val="24"/>
          <w:szCs w:val="24"/>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left="560"/>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keepNext/>
        <w:keepLines/>
        <w:autoSpaceDE w:val="0"/>
        <w:autoSpaceDN w:val="0"/>
        <w:spacing w:before="120" w:after="120" w:line="300" w:lineRule="auto"/>
        <w:jc w:val="left"/>
        <w:rPr>
          <w:rFonts w:hint="eastAsia" w:asciiTheme="minorEastAsia" w:hAnsiTheme="minorEastAsia" w:eastAsiaTheme="minorEastAsia" w:cstheme="minorEastAsia"/>
          <w:b/>
          <w:bCs/>
          <w:sz w:val="30"/>
          <w:szCs w:val="30"/>
          <w:lang w:val="zh-CN"/>
        </w:rPr>
      </w:pPr>
      <w:r>
        <w:rPr>
          <w:rFonts w:hint="eastAsia" w:asciiTheme="minorEastAsia" w:hAnsiTheme="minorEastAsia" w:eastAsiaTheme="minorEastAsia" w:cstheme="minorEastAsia"/>
          <w:color w:val="auto"/>
          <w:sz w:val="24"/>
          <w:szCs w:val="24"/>
          <w:highlight w:val="none"/>
        </w:rPr>
        <w:br w:type="page"/>
      </w:r>
      <w:bookmarkStart w:id="85" w:name="_Toc323130135"/>
      <w:bookmarkStart w:id="86" w:name="_Toc323129568"/>
      <w:bookmarkStart w:id="87" w:name="_Toc325620729"/>
      <w:bookmarkStart w:id="88" w:name="_Toc332979571"/>
      <w:bookmarkStart w:id="89" w:name="_Toc6958"/>
      <w:r>
        <w:rPr>
          <w:rFonts w:hint="eastAsia" w:asciiTheme="minorEastAsia" w:hAnsiTheme="minorEastAsia" w:eastAsiaTheme="minorEastAsia" w:cstheme="minorEastAsia"/>
          <w:b/>
          <w:bCs/>
          <w:color w:val="auto"/>
          <w:sz w:val="30"/>
          <w:szCs w:val="30"/>
          <w:lang w:eastAsia="zh-CN"/>
        </w:rPr>
        <w:t>附件：</w:t>
      </w:r>
      <w:r>
        <w:rPr>
          <w:rFonts w:hint="eastAsia" w:asciiTheme="minorEastAsia" w:hAnsiTheme="minorEastAsia" w:eastAsiaTheme="minorEastAsia" w:cstheme="minorEastAsia"/>
          <w:b/>
          <w:bCs/>
          <w:color w:val="auto"/>
          <w:sz w:val="30"/>
          <w:szCs w:val="30"/>
          <w:lang w:val="zh-CN"/>
        </w:rPr>
        <w:t>政府采购诚信承诺书</w:t>
      </w:r>
    </w:p>
    <w:p>
      <w:pPr>
        <w:keepNext/>
        <w:keepLines/>
        <w:autoSpaceDE w:val="0"/>
        <w:autoSpaceDN w:val="0"/>
        <w:spacing w:before="120" w:after="120" w:line="300" w:lineRule="auto"/>
        <w:jc w:val="center"/>
        <w:rPr>
          <w:rFonts w:ascii="宋体" w:hAnsi="宋体" w:cs="宋体"/>
          <w:sz w:val="30"/>
          <w:szCs w:val="30"/>
          <w:lang w:val="zh-CN"/>
        </w:rPr>
      </w:pPr>
      <w:r>
        <w:rPr>
          <w:rFonts w:hint="eastAsia" w:ascii="宋体" w:hAnsi="宋体" w:cs="宋体"/>
          <w:sz w:val="30"/>
          <w:szCs w:val="30"/>
          <w:lang w:val="zh-CN"/>
        </w:rPr>
        <w:t>政府采购诚信承诺书</w:t>
      </w:r>
    </w:p>
    <w:p>
      <w:pPr>
        <w:autoSpaceDE w:val="0"/>
        <w:autoSpaceDN w:val="0"/>
        <w:spacing w:line="360" w:lineRule="auto"/>
        <w:rPr>
          <w:rFonts w:ascii="宋体" w:hAnsi="宋体" w:cs="宋体"/>
          <w:sz w:val="24"/>
          <w:szCs w:val="20"/>
        </w:rPr>
      </w:pPr>
    </w:p>
    <w:p>
      <w:pPr>
        <w:autoSpaceDE w:val="0"/>
        <w:autoSpaceDN w:val="0"/>
        <w:spacing w:line="360" w:lineRule="auto"/>
        <w:rPr>
          <w:rFonts w:ascii="宋体" w:hAnsi="宋体" w:cs="宋体"/>
          <w:sz w:val="24"/>
          <w:szCs w:val="20"/>
          <w:lang w:val="zh-CN"/>
        </w:rPr>
      </w:pPr>
      <w:r>
        <w:rPr>
          <w:rFonts w:hint="eastAsia" w:ascii="宋体" w:hAnsi="宋体" w:cs="宋体"/>
          <w:sz w:val="24"/>
          <w:szCs w:val="20"/>
          <w:u w:val="single"/>
          <w:lang w:val="zh-CN"/>
        </w:rPr>
        <w:t xml:space="preserve">（采购人） </w:t>
      </w:r>
      <w:r>
        <w:rPr>
          <w:rFonts w:hint="eastAsia" w:ascii="宋体" w:hAnsi="宋体" w:cs="宋体"/>
          <w:sz w:val="24"/>
          <w:szCs w:val="20"/>
          <w:lang w:val="zh-CN"/>
        </w:rPr>
        <w:t>：</w:t>
      </w:r>
    </w:p>
    <w:p>
      <w:pPr>
        <w:autoSpaceDE w:val="0"/>
        <w:autoSpaceDN w:val="0"/>
        <w:spacing w:line="360" w:lineRule="auto"/>
        <w:ind w:firstLine="480"/>
        <w:rPr>
          <w:rFonts w:ascii="宋体" w:hAnsi="宋体" w:cs="宋体"/>
          <w:sz w:val="24"/>
          <w:szCs w:val="20"/>
          <w:lang w:val="zh-CN"/>
        </w:rPr>
      </w:pPr>
      <w:r>
        <w:rPr>
          <w:rFonts w:hint="eastAsia" w:ascii="宋体" w:hAnsi="宋体" w:cs="宋体"/>
          <w:sz w:val="24"/>
          <w:szCs w:val="20"/>
          <w:lang w:val="zh-CN"/>
        </w:rPr>
        <w:t>我公司</w:t>
      </w:r>
      <w:r>
        <w:rPr>
          <w:rFonts w:hint="eastAsia" w:ascii="宋体" w:hAnsi="宋体" w:cs="宋体"/>
          <w:sz w:val="24"/>
          <w:szCs w:val="20"/>
          <w:u w:val="single"/>
          <w:lang w:val="zh-CN"/>
        </w:rPr>
        <w:t xml:space="preserve">               </w:t>
      </w:r>
      <w:r>
        <w:rPr>
          <w:rFonts w:hint="eastAsia" w:ascii="宋体" w:hAnsi="宋体" w:cs="宋体"/>
          <w:sz w:val="24"/>
          <w:szCs w:val="20"/>
          <w:lang w:val="zh-CN"/>
        </w:rPr>
        <w:t>（</w:t>
      </w:r>
      <w:r>
        <w:rPr>
          <w:rFonts w:hint="eastAsia" w:hAnsi="宋体" w:cs="宋体"/>
          <w:sz w:val="24"/>
          <w:szCs w:val="20"/>
          <w:lang w:val="zh-CN"/>
        </w:rPr>
        <w:t>供应商</w:t>
      </w:r>
      <w:r>
        <w:rPr>
          <w:rFonts w:hint="eastAsia" w:ascii="宋体" w:hAnsi="宋体" w:cs="宋体"/>
          <w:sz w:val="24"/>
          <w:szCs w:val="20"/>
          <w:lang w:val="zh-CN"/>
        </w:rPr>
        <w:t>名称）已详细阅读了</w:t>
      </w:r>
      <w:r>
        <w:rPr>
          <w:rFonts w:hint="eastAsia" w:ascii="宋体" w:hAnsi="宋体" w:cs="宋体"/>
          <w:sz w:val="24"/>
          <w:szCs w:val="20"/>
          <w:u w:val="single"/>
          <w:lang w:val="zh-CN"/>
        </w:rPr>
        <w:t xml:space="preserve">             </w:t>
      </w:r>
      <w:r>
        <w:rPr>
          <w:rFonts w:hint="eastAsia" w:ascii="宋体" w:hAnsi="宋体" w:cs="宋体"/>
          <w:sz w:val="24"/>
          <w:szCs w:val="20"/>
          <w:lang w:val="zh-CN"/>
        </w:rPr>
        <w:t>项目（项目编号：</w:t>
      </w:r>
      <w:r>
        <w:rPr>
          <w:rFonts w:hint="eastAsia" w:ascii="宋体" w:hAnsi="宋体" w:cs="宋体"/>
          <w:sz w:val="24"/>
          <w:szCs w:val="20"/>
          <w:u w:val="single"/>
          <w:lang w:val="zh-CN"/>
        </w:rPr>
        <w:t xml:space="preserve">          </w:t>
      </w:r>
      <w:r>
        <w:rPr>
          <w:rFonts w:hint="eastAsia" w:ascii="宋体" w:hAnsi="宋体" w:cs="宋体"/>
          <w:sz w:val="24"/>
          <w:szCs w:val="20"/>
          <w:lang w:val="zh-CN"/>
        </w:rPr>
        <w:t>）</w:t>
      </w:r>
      <w:r>
        <w:rPr>
          <w:rFonts w:hint="eastAsia" w:hAnsi="宋体" w:cs="宋体"/>
          <w:sz w:val="24"/>
          <w:szCs w:val="20"/>
          <w:lang w:val="zh-CN"/>
        </w:rPr>
        <w:t>磋商文件</w:t>
      </w:r>
      <w:r>
        <w:rPr>
          <w:rFonts w:hint="eastAsia" w:ascii="宋体" w:hAnsi="宋体" w:cs="宋体"/>
          <w:sz w:val="24"/>
          <w:szCs w:val="20"/>
          <w:lang w:val="zh-CN"/>
        </w:rPr>
        <w:t>，自愿参加本次投标，现就有关事项郑重承诺如下：</w:t>
      </w:r>
    </w:p>
    <w:p>
      <w:pPr>
        <w:autoSpaceDE w:val="0"/>
        <w:autoSpaceDN w:val="0"/>
        <w:spacing w:line="360" w:lineRule="auto"/>
        <w:ind w:firstLine="482"/>
        <w:rPr>
          <w:rFonts w:ascii="宋体" w:hAnsi="宋体" w:cs="宋体"/>
          <w:sz w:val="24"/>
          <w:szCs w:val="20"/>
          <w:lang w:val="zh-CN"/>
        </w:rPr>
      </w:pPr>
      <w:r>
        <w:rPr>
          <w:rFonts w:hint="eastAsia" w:ascii="宋体" w:hAnsi="宋体" w:cs="宋体"/>
          <w:sz w:val="24"/>
          <w:szCs w:val="20"/>
          <w:lang w:val="zh-CN"/>
        </w:rPr>
        <w:t>一、诚信投标，材料真实。我公司保证所提供的全部材料、投标内容均真实、合法、有效，保证不出借或者借用其他企业资质，不以他人名义投标，不弄虚作假；</w:t>
      </w:r>
    </w:p>
    <w:p>
      <w:pPr>
        <w:spacing w:line="360" w:lineRule="auto"/>
        <w:ind w:firstLine="482"/>
        <w:rPr>
          <w:rFonts w:ascii="宋体" w:hAnsi="宋体" w:cs="宋体"/>
          <w:sz w:val="24"/>
        </w:rPr>
      </w:pPr>
      <w:r>
        <w:rPr>
          <w:rFonts w:hint="eastAsia" w:ascii="宋体" w:hAnsi="宋体" w:cs="宋体"/>
          <w:sz w:val="24"/>
          <w:szCs w:val="20"/>
          <w:lang w:val="zh-CN"/>
        </w:rPr>
        <w:t>二、遵</w:t>
      </w:r>
      <w:r>
        <w:rPr>
          <w:rFonts w:hint="eastAsia" w:ascii="宋体" w:hAnsi="宋体" w:cs="宋体"/>
          <w:sz w:val="24"/>
          <w:lang w:val="zh-CN"/>
        </w:rPr>
        <w:t>纪守法，公平竞争。不与其他</w:t>
      </w:r>
      <w:r>
        <w:rPr>
          <w:rFonts w:hint="eastAsia" w:hAnsi="宋体" w:cs="宋体"/>
          <w:sz w:val="24"/>
          <w:lang w:val="zh-CN"/>
        </w:rPr>
        <w:t>供应商</w:t>
      </w:r>
      <w:r>
        <w:rPr>
          <w:rFonts w:hint="eastAsia" w:ascii="宋体" w:hAnsi="宋体" w:cs="宋体"/>
          <w:sz w:val="24"/>
          <w:lang w:val="zh-CN"/>
        </w:rPr>
        <w:t>相互串通、</w:t>
      </w:r>
      <w:r>
        <w:rPr>
          <w:rFonts w:hint="eastAsia" w:ascii="宋体" w:hAnsi="宋体" w:cs="宋体"/>
          <w:kern w:val="0"/>
          <w:sz w:val="24"/>
        </w:rPr>
        <w:t>哄抬价格，</w:t>
      </w:r>
      <w:r>
        <w:rPr>
          <w:rFonts w:hint="eastAsia" w:ascii="宋体" w:hAnsi="宋体" w:cs="宋体"/>
          <w:sz w:val="24"/>
          <w:lang w:val="zh-CN"/>
        </w:rPr>
        <w:t>不排挤其他</w:t>
      </w:r>
      <w:r>
        <w:rPr>
          <w:rFonts w:hint="eastAsia" w:hAnsi="宋体" w:cs="宋体"/>
          <w:sz w:val="24"/>
          <w:lang w:val="zh-CN"/>
        </w:rPr>
        <w:t>供应商</w:t>
      </w:r>
      <w:r>
        <w:rPr>
          <w:rFonts w:hint="eastAsia" w:ascii="宋体" w:hAnsi="宋体" w:cs="宋体"/>
          <w:sz w:val="24"/>
          <w:lang w:val="zh-CN"/>
        </w:rPr>
        <w:t>，不损害采购人的合法权益；不向采购人、采购代理机构、</w:t>
      </w:r>
      <w:r>
        <w:rPr>
          <w:rFonts w:hint="eastAsia" w:hAnsi="宋体" w:cs="宋体"/>
          <w:sz w:val="24"/>
          <w:lang w:val="zh-CN"/>
        </w:rPr>
        <w:t>磋商小组</w:t>
      </w:r>
      <w:r>
        <w:rPr>
          <w:rFonts w:hint="eastAsia" w:ascii="宋体" w:hAnsi="宋体" w:cs="宋体"/>
          <w:sz w:val="24"/>
          <w:lang w:val="zh-CN"/>
        </w:rPr>
        <w:t>成员</w:t>
      </w:r>
      <w:r>
        <w:rPr>
          <w:rFonts w:hint="eastAsia" w:ascii="宋体" w:hAnsi="宋体" w:cs="宋体"/>
          <w:sz w:val="24"/>
        </w:rPr>
        <w:t>等及其他参与招标活动的人员行贿或采用其他不正当手段谋取中标；</w:t>
      </w:r>
    </w:p>
    <w:p>
      <w:pPr>
        <w:spacing w:line="360" w:lineRule="auto"/>
        <w:ind w:firstLine="482"/>
        <w:rPr>
          <w:rFonts w:ascii="宋体" w:hAnsi="宋体" w:cs="宋体"/>
          <w:sz w:val="24"/>
        </w:rPr>
      </w:pPr>
      <w:r>
        <w:rPr>
          <w:rFonts w:hint="eastAsia" w:ascii="宋体" w:hAnsi="宋体" w:cs="宋体"/>
          <w:kern w:val="0"/>
          <w:sz w:val="24"/>
        </w:rPr>
        <w:t>三</w:t>
      </w:r>
      <w:r>
        <w:rPr>
          <w:rFonts w:hint="eastAsia" w:ascii="宋体" w:hAnsi="宋体" w:cs="宋体"/>
          <w:sz w:val="24"/>
        </w:rPr>
        <w:t>、不捏造事实或借用他人名义进行虚假、恶意质疑和投诉，不以质疑或投诉为名排挤竞争对手，干扰政府采购秩序；</w:t>
      </w:r>
    </w:p>
    <w:p>
      <w:pPr>
        <w:autoSpaceDE w:val="0"/>
        <w:autoSpaceDN w:val="0"/>
        <w:spacing w:line="360" w:lineRule="auto"/>
        <w:ind w:firstLine="482"/>
        <w:rPr>
          <w:rFonts w:ascii="宋体" w:hAnsi="宋体" w:cs="宋体"/>
          <w:sz w:val="24"/>
          <w:szCs w:val="20"/>
          <w:lang w:val="zh-CN"/>
        </w:rPr>
      </w:pPr>
      <w:r>
        <w:rPr>
          <w:rFonts w:hint="eastAsia" w:ascii="宋体" w:hAnsi="宋体" w:cs="宋体"/>
          <w:kern w:val="0"/>
          <w:sz w:val="24"/>
        </w:rPr>
        <w:t>四、若中标后，将按照规定及时与采购人</w:t>
      </w:r>
      <w:r>
        <w:rPr>
          <w:rFonts w:hint="eastAsia" w:ascii="宋体" w:hAnsi="宋体" w:cs="宋体"/>
          <w:kern w:val="0"/>
          <w:sz w:val="24"/>
          <w:szCs w:val="20"/>
        </w:rPr>
        <w:t>签订政府采购合同，不与采购人订立有悖于招标结果的合同或协议；严格履行政府采购合同，不降低合同约定的产品质量及相关服务，不擅自变更、中止、终止合同，或者拒绝履行合同义务。</w:t>
      </w:r>
    </w:p>
    <w:p>
      <w:pPr>
        <w:autoSpaceDE w:val="0"/>
        <w:autoSpaceDN w:val="0"/>
        <w:spacing w:line="360" w:lineRule="auto"/>
        <w:ind w:firstLine="482"/>
        <w:rPr>
          <w:rFonts w:ascii="宋体" w:hAnsi="宋体" w:cs="宋体"/>
          <w:sz w:val="24"/>
          <w:szCs w:val="20"/>
          <w:lang w:val="zh-CN"/>
        </w:rPr>
      </w:pPr>
      <w:r>
        <w:rPr>
          <w:rFonts w:hint="eastAsia" w:ascii="宋体" w:hAnsi="宋体" w:cs="宋体"/>
          <w:sz w:val="24"/>
          <w:szCs w:val="20"/>
          <w:lang w:val="zh-CN"/>
        </w:rPr>
        <w:t>若有违反以上承诺内容的行为，我公司自愿接受取消投标资格、记入信用档案、媒体通报、1</w:t>
      </w:r>
      <w:r>
        <w:rPr>
          <w:rFonts w:hint="eastAsia" w:ascii="宋体" w:hAnsi="宋体" w:cs="宋体"/>
          <w:sz w:val="24"/>
          <w:lang w:val="zh-CN"/>
        </w:rPr>
        <w:t>～</w:t>
      </w:r>
      <w:r>
        <w:rPr>
          <w:rFonts w:hint="eastAsia" w:ascii="宋体" w:hAnsi="宋体" w:cs="宋体"/>
          <w:sz w:val="24"/>
          <w:szCs w:val="20"/>
          <w:lang w:val="zh-CN"/>
        </w:rPr>
        <w:t>3年内禁止参与</w:t>
      </w:r>
      <w:r>
        <w:rPr>
          <w:rFonts w:hint="eastAsia" w:hAnsi="宋体" w:cs="宋体"/>
          <w:sz w:val="24"/>
          <w:szCs w:val="20"/>
          <w:lang w:eastAsia="zh-CN"/>
        </w:rPr>
        <w:t>菏泽市</w:t>
      </w:r>
      <w:r>
        <w:rPr>
          <w:rFonts w:hint="eastAsia" w:ascii="宋体" w:hAnsi="宋体" w:cs="宋体"/>
          <w:sz w:val="24"/>
          <w:szCs w:val="20"/>
          <w:lang w:val="zh-CN"/>
        </w:rPr>
        <w:t>政府采购活动等处罚；</w:t>
      </w:r>
      <w:r>
        <w:rPr>
          <w:rFonts w:hint="eastAsia" w:ascii="宋体" w:hAnsi="宋体" w:cs="宋体"/>
          <w:sz w:val="24"/>
          <w:szCs w:val="20"/>
        </w:rPr>
        <w:t>如已中标的，自动放弃中标资格，</w:t>
      </w:r>
      <w:r>
        <w:rPr>
          <w:rFonts w:hint="eastAsia" w:ascii="宋体" w:hAnsi="宋体" w:cs="宋体"/>
          <w:sz w:val="24"/>
          <w:szCs w:val="20"/>
          <w:lang w:val="zh-CN"/>
        </w:rPr>
        <w:t>并承担全部法律责任</w:t>
      </w:r>
      <w:r>
        <w:rPr>
          <w:rFonts w:hint="eastAsia" w:ascii="宋体" w:hAnsi="宋体" w:cs="宋体"/>
          <w:sz w:val="24"/>
          <w:szCs w:val="20"/>
        </w:rPr>
        <w:t>；给采购人造成损失的，依法承担赔偿责任</w:t>
      </w:r>
      <w:r>
        <w:rPr>
          <w:rFonts w:hint="eastAsia" w:ascii="宋体" w:hAnsi="宋体" w:cs="宋体"/>
          <w:sz w:val="24"/>
          <w:szCs w:val="20"/>
          <w:lang w:val="zh-CN"/>
        </w:rPr>
        <w:t>。</w:t>
      </w:r>
    </w:p>
    <w:p>
      <w:pPr>
        <w:spacing w:line="440" w:lineRule="exact"/>
        <w:ind w:firstLine="560" w:firstLineChars="200"/>
        <w:rPr>
          <w:rFonts w:ascii="宋体" w:hAnsi="宋体" w:cs="宋体"/>
        </w:rPr>
      </w:pPr>
    </w:p>
    <w:p>
      <w:pPr>
        <w:autoSpaceDE w:val="0"/>
        <w:autoSpaceDN w:val="0"/>
        <w:spacing w:line="360" w:lineRule="auto"/>
        <w:jc w:val="center"/>
        <w:rPr>
          <w:rFonts w:ascii="宋体" w:hAnsi="宋体" w:cs="宋体"/>
          <w:sz w:val="24"/>
          <w:szCs w:val="20"/>
          <w:lang w:val="zh-CN"/>
        </w:rPr>
      </w:pPr>
      <w:r>
        <w:rPr>
          <w:rFonts w:hint="eastAsia" w:ascii="宋体" w:hAnsi="宋体" w:cs="宋体"/>
          <w:sz w:val="24"/>
          <w:szCs w:val="20"/>
          <w:lang w:val="zh-CN"/>
        </w:rPr>
        <w:t xml:space="preserve">                        </w:t>
      </w:r>
      <w:r>
        <w:rPr>
          <w:rFonts w:hint="eastAsia" w:hAnsi="宋体" w:cs="宋体"/>
          <w:sz w:val="24"/>
          <w:szCs w:val="20"/>
          <w:lang w:val="zh-CN"/>
        </w:rPr>
        <w:t>供应商</w:t>
      </w:r>
      <w:r>
        <w:rPr>
          <w:rFonts w:hint="eastAsia" w:ascii="宋体" w:hAnsi="宋体" w:cs="宋体"/>
          <w:sz w:val="24"/>
          <w:szCs w:val="20"/>
          <w:lang w:val="zh-CN"/>
        </w:rPr>
        <w:t>名称(公章)：</w:t>
      </w:r>
    </w:p>
    <w:p>
      <w:pPr>
        <w:autoSpaceDE w:val="0"/>
        <w:autoSpaceDN w:val="0"/>
        <w:spacing w:line="360" w:lineRule="auto"/>
        <w:jc w:val="center"/>
        <w:rPr>
          <w:rFonts w:ascii="宋体" w:hAnsi="宋体" w:cs="宋体"/>
          <w:sz w:val="24"/>
          <w:szCs w:val="20"/>
          <w:lang w:val="zh-CN"/>
        </w:rPr>
      </w:pPr>
      <w:r>
        <w:rPr>
          <w:rFonts w:hint="eastAsia" w:ascii="宋体" w:hAnsi="宋体" w:cs="宋体"/>
          <w:sz w:val="24"/>
          <w:szCs w:val="20"/>
          <w:lang w:val="zh-CN"/>
        </w:rPr>
        <w:t xml:space="preserve">                             法定代表人或其委托代理人（签字或盖章）：</w:t>
      </w:r>
    </w:p>
    <w:p>
      <w:pPr>
        <w:autoSpaceDE w:val="0"/>
        <w:autoSpaceDN w:val="0"/>
        <w:spacing w:line="360" w:lineRule="auto"/>
        <w:ind w:firstLine="720"/>
        <w:jc w:val="center"/>
        <w:rPr>
          <w:rFonts w:ascii="宋体" w:hAnsi="宋体" w:cs="宋体"/>
          <w:sz w:val="24"/>
          <w:szCs w:val="20"/>
          <w:lang w:val="zh-CN"/>
        </w:rPr>
      </w:pPr>
      <w:r>
        <w:rPr>
          <w:rFonts w:hint="eastAsia" w:ascii="宋体" w:hAnsi="宋体" w:cs="宋体"/>
          <w:sz w:val="24"/>
          <w:szCs w:val="20"/>
          <w:lang w:val="zh-CN"/>
        </w:rPr>
        <w:t xml:space="preserve">                       日期：     年   月   日</w:t>
      </w:r>
    </w:p>
    <w:p>
      <w:pPr>
        <w:autoSpaceDE w:val="0"/>
        <w:autoSpaceDN w:val="0"/>
        <w:spacing w:line="640" w:lineRule="exact"/>
        <w:jc w:val="center"/>
        <w:rPr>
          <w:rFonts w:hint="default" w:ascii="宋体" w:hAnsi="宋体" w:cs="宋体"/>
          <w:sz w:val="30"/>
          <w:szCs w:val="30"/>
          <w:lang w:val="en-US" w:eastAsia="zh-CN"/>
        </w:rPr>
      </w:pPr>
    </w:p>
    <w:p>
      <w:pPr>
        <w:jc w:val="left"/>
        <w:rPr>
          <w:rFonts w:hint="eastAsia" w:ascii="宋体" w:hAnsi="宋体" w:cs="宋体"/>
          <w:b/>
          <w:bCs/>
          <w:color w:val="auto"/>
          <w:kern w:val="0"/>
          <w:sz w:val="32"/>
          <w:szCs w:val="32"/>
          <w:u w:val="none"/>
          <w:lang w:val="en-US" w:eastAsia="zh-CN" w:bidi="ar"/>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b/>
          <w:bCs/>
          <w:color w:val="auto"/>
          <w:sz w:val="30"/>
          <w:szCs w:val="30"/>
          <w:lang w:eastAsia="zh-CN"/>
        </w:rPr>
        <w:t>附件：</w:t>
      </w:r>
      <w:r>
        <w:rPr>
          <w:rFonts w:hint="eastAsia" w:ascii="宋体" w:hAnsi="宋体" w:cs="宋体"/>
          <w:b/>
          <w:bCs/>
          <w:color w:val="auto"/>
          <w:kern w:val="0"/>
          <w:sz w:val="32"/>
          <w:szCs w:val="32"/>
          <w:u w:val="none"/>
          <w:lang w:val="en-US" w:eastAsia="zh-CN" w:bidi="ar"/>
        </w:rPr>
        <w:t>菏泽市政府采购供应商资格信用承诺函</w:t>
      </w:r>
    </w:p>
    <w:p>
      <w:pPr>
        <w:spacing w:line="360" w:lineRule="auto"/>
        <w:ind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我公司自愿参加（</w:t>
      </w:r>
      <w:r>
        <w:rPr>
          <w:rFonts w:hint="eastAsia" w:ascii="宋体" w:hAnsi="宋体" w:cs="宋体"/>
          <w:b w:val="0"/>
          <w:bCs w:val="0"/>
          <w:color w:val="auto"/>
          <w:kern w:val="0"/>
          <w:sz w:val="24"/>
          <w:szCs w:val="24"/>
          <w:u w:val="single"/>
          <w:lang w:val="en-US" w:eastAsia="zh-CN" w:bidi="ar"/>
        </w:rPr>
        <w:t xml:space="preserve">    </w:t>
      </w:r>
      <w:r>
        <w:rPr>
          <w:rFonts w:hint="eastAsia" w:ascii="宋体" w:hAnsi="宋体" w:cs="宋体"/>
          <w:b w:val="0"/>
          <w:bCs w:val="0"/>
          <w:color w:val="auto"/>
          <w:kern w:val="0"/>
          <w:sz w:val="24"/>
          <w:szCs w:val="24"/>
          <w:u w:val="none"/>
          <w:lang w:val="en-US" w:eastAsia="zh-CN" w:bidi="ar"/>
        </w:rPr>
        <w:t>项目名称）政府采购活动，并郑重承诺：</w:t>
      </w:r>
    </w:p>
    <w:p>
      <w:pPr>
        <w:spacing w:line="360" w:lineRule="auto"/>
        <w:ind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我公司符合下列要求：</w:t>
      </w:r>
    </w:p>
    <w:p>
      <w:pPr>
        <w:spacing w:line="360" w:lineRule="auto"/>
        <w:ind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（1）具有独立承担民事责任的能力；</w:t>
      </w:r>
    </w:p>
    <w:p>
      <w:pPr>
        <w:spacing w:line="360" w:lineRule="auto"/>
        <w:ind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（2）具有良好的商业信誉和健全的财务会计制度；</w:t>
      </w:r>
    </w:p>
    <w:p>
      <w:pPr>
        <w:spacing w:line="360" w:lineRule="auto"/>
        <w:ind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（3）具有履行合同所必需的设备和专业技术能力；</w:t>
      </w:r>
    </w:p>
    <w:p>
      <w:pPr>
        <w:spacing w:line="360" w:lineRule="auto"/>
        <w:ind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（4）具有依法缴纳税收和社会保障资金的良好记录；</w:t>
      </w:r>
    </w:p>
    <w:p>
      <w:pPr>
        <w:spacing w:line="360" w:lineRule="auto"/>
        <w:ind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（5）参加政府采购活动（以开启时间为准）前3年内，供应商和其法定代表人无行贿犯罪行为且在经营活动中没有重大违法记录以及本项目开启时未被禁止参加本项目所在地的政府采购活动；</w:t>
      </w:r>
    </w:p>
    <w:p>
      <w:pPr>
        <w:spacing w:line="360" w:lineRule="auto"/>
        <w:ind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（6）法律、行政法规和采购文件规定的其他条件。</w:t>
      </w:r>
    </w:p>
    <w:p>
      <w:pPr>
        <w:spacing w:line="360" w:lineRule="auto"/>
        <w:ind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如果我公司成交，将在评审环节结束后5个工作日内，按采购文件要求，向采购人提供下列材料原件进行核验：</w:t>
      </w:r>
    </w:p>
    <w:p>
      <w:pPr>
        <w:spacing w:line="360" w:lineRule="auto"/>
        <w:ind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（1）营业执照或事业单位法人登记证书；</w:t>
      </w:r>
    </w:p>
    <w:p>
      <w:pPr>
        <w:spacing w:line="360" w:lineRule="auto"/>
        <w:ind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（2）税务登记证（接受合一的证书）或者上一年度以来任意一个月缴纳的增值税或营业税或企业所得税的凭据（依法免税的除外）；</w:t>
      </w:r>
    </w:p>
    <w:p>
      <w:pPr>
        <w:spacing w:line="360" w:lineRule="auto"/>
        <w:ind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（3）参加本次政府采购活动上一年度至今的年度或任意一个月度财务报表（至少包含资产负债表和损益表或预算收入支出表）或供应商结算户银行出具的资信证明；</w:t>
      </w:r>
    </w:p>
    <w:p>
      <w:pPr>
        <w:spacing w:line="360" w:lineRule="auto"/>
        <w:ind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（4）参加本次政府采购活动上一年度以来任意一个月缴纳社会保险的凭据（专用收据或社会保险缴纳清单）；</w:t>
      </w:r>
    </w:p>
    <w:p>
      <w:pPr>
        <w:spacing w:line="360" w:lineRule="auto"/>
        <w:ind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（5）其他材料。</w:t>
      </w:r>
    </w:p>
    <w:p>
      <w:pPr>
        <w:spacing w:line="360" w:lineRule="auto"/>
        <w:ind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本公司对上述承诺的真实性、合法性、有效性负责，如有虚假，将依法承担相应责任。</w:t>
      </w:r>
    </w:p>
    <w:p>
      <w:pPr>
        <w:spacing w:line="360" w:lineRule="auto"/>
        <w:ind w:leftChars="2000"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法定代表人（签章）：</w:t>
      </w:r>
    </w:p>
    <w:p>
      <w:pPr>
        <w:spacing w:line="360" w:lineRule="auto"/>
        <w:ind w:leftChars="2000"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社会信用代码：</w:t>
      </w:r>
    </w:p>
    <w:p>
      <w:pPr>
        <w:spacing w:line="360" w:lineRule="auto"/>
        <w:ind w:leftChars="2000" w:firstLine="480" w:firstLineChars="200"/>
        <w:jc w:val="both"/>
        <w:rPr>
          <w:rFonts w:hint="eastAsia" w:ascii="宋体" w:hAnsi="宋体" w:cs="宋体"/>
          <w:b w:val="0"/>
          <w:bCs w:val="0"/>
          <w:color w:val="auto"/>
          <w:kern w:val="0"/>
          <w:sz w:val="24"/>
          <w:szCs w:val="24"/>
          <w:u w:val="none"/>
          <w:lang w:val="en-US" w:eastAsia="zh-CN" w:bidi="ar"/>
        </w:rPr>
      </w:pPr>
      <w:r>
        <w:rPr>
          <w:rFonts w:hint="eastAsia" w:ascii="宋体" w:hAnsi="宋体" w:cs="宋体"/>
          <w:b w:val="0"/>
          <w:bCs w:val="0"/>
          <w:color w:val="auto"/>
          <w:kern w:val="0"/>
          <w:sz w:val="24"/>
          <w:szCs w:val="24"/>
          <w:u w:val="none"/>
          <w:lang w:val="en-US" w:eastAsia="zh-CN" w:bidi="ar"/>
        </w:rPr>
        <w:t>供应商名称（签章）：</w:t>
      </w:r>
    </w:p>
    <w:p>
      <w:pPr>
        <w:ind w:leftChars="2000" w:firstLine="720" w:firstLineChars="300"/>
        <w:rPr>
          <w:color w:val="auto"/>
        </w:rPr>
      </w:pPr>
      <w:r>
        <w:rPr>
          <w:rFonts w:hint="eastAsia" w:ascii="宋体" w:hAnsi="宋体" w:cs="宋体"/>
          <w:b w:val="0"/>
          <w:bCs w:val="0"/>
          <w:color w:val="auto"/>
          <w:kern w:val="0"/>
          <w:sz w:val="24"/>
          <w:szCs w:val="24"/>
          <w:u w:val="none"/>
          <w:lang w:val="en-US" w:eastAsia="zh-CN" w:bidi="ar"/>
        </w:rPr>
        <w:t>年  月  日</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pStyle w:val="29"/>
        <w:spacing w:line="360" w:lineRule="auto"/>
        <w:rPr>
          <w:rFonts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color w:val="auto"/>
          <w:sz w:val="30"/>
          <w:szCs w:val="30"/>
          <w:highlight w:val="none"/>
        </w:rPr>
        <w:t>附件</w:t>
      </w:r>
      <w:bookmarkEnd w:id="85"/>
      <w:bookmarkEnd w:id="86"/>
      <w:r>
        <w:rPr>
          <w:rFonts w:hint="eastAsia" w:asciiTheme="minorEastAsia" w:hAnsiTheme="minorEastAsia" w:eastAsiaTheme="minorEastAsia" w:cstheme="minorEastAsia"/>
          <w:color w:val="auto"/>
          <w:sz w:val="30"/>
          <w:szCs w:val="30"/>
          <w:highlight w:val="none"/>
        </w:rPr>
        <w:t>：法定代表人授权委托书</w:t>
      </w:r>
      <w:bookmarkEnd w:id="87"/>
      <w:bookmarkEnd w:id="88"/>
      <w:bookmarkEnd w:id="89"/>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280" w:firstLineChars="10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法定代表人授权委托书</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Theme="minorEastAsia" w:hAnsiTheme="minorEastAsia" w:eastAsiaTheme="minorEastAsia" w:cstheme="minorEastAsia"/>
          <w:color w:val="auto"/>
          <w:sz w:val="24"/>
          <w:szCs w:val="24"/>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700" w:lineRule="exact"/>
        <w:ind w:firstLine="64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山东华标招标有限公司：</w:t>
      </w:r>
    </w:p>
    <w:p>
      <w:pPr>
        <w:tabs>
          <w:tab w:val="left" w:pos="0"/>
          <w:tab w:val="left" w:pos="720"/>
          <w:tab w:val="left" w:pos="1440"/>
          <w:tab w:val="left" w:pos="2160"/>
          <w:tab w:val="left" w:pos="2880"/>
          <w:tab w:val="left" w:pos="3600"/>
          <w:tab w:val="left" w:pos="4320"/>
        </w:tabs>
        <w:autoSpaceDE w:val="0"/>
        <w:autoSpaceDN w:val="0"/>
        <w:adjustRightInd w:val="0"/>
        <w:spacing w:line="700" w:lineRule="exact"/>
        <w:ind w:firstLine="552" w:firstLineChars="23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（供应商名称）法定代表人，现授权委托我公司的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（姓名、职务或职称）为我单位本次项目的全权代表，以本公司的名义参加山东华标招标有限公司组织的</w:t>
      </w:r>
      <w:r>
        <w:rPr>
          <w:rFonts w:hint="eastAsia" w:asciiTheme="minorEastAsia" w:hAnsiTheme="minorEastAsia" w:eastAsiaTheme="minorEastAsia" w:cstheme="minorEastAsia"/>
          <w:color w:val="auto"/>
          <w:sz w:val="24"/>
          <w:highlight w:val="none"/>
          <w:u w:val="single"/>
        </w:rPr>
        <w:t xml:space="preserve">                  （项目名称）的</w:t>
      </w:r>
      <w:r>
        <w:rPr>
          <w:rFonts w:hint="eastAsia" w:asciiTheme="minorEastAsia" w:hAnsiTheme="minorEastAsia" w:eastAsiaTheme="minorEastAsia" w:cstheme="minorEastAsia"/>
          <w:color w:val="auto"/>
          <w:sz w:val="24"/>
          <w:highlight w:val="none"/>
        </w:rPr>
        <w:t>招标，全权处理招标过程有关的一切事务。</w:t>
      </w:r>
    </w:p>
    <w:p>
      <w:pPr>
        <w:tabs>
          <w:tab w:val="left" w:pos="0"/>
          <w:tab w:val="left" w:pos="720"/>
          <w:tab w:val="left" w:pos="1440"/>
          <w:tab w:val="left" w:pos="2160"/>
          <w:tab w:val="left" w:pos="2880"/>
          <w:tab w:val="left" w:pos="3600"/>
          <w:tab w:val="left" w:pos="4320"/>
        </w:tabs>
        <w:autoSpaceDE w:val="0"/>
        <w:autoSpaceDN w:val="0"/>
        <w:adjustRightInd w:val="0"/>
        <w:spacing w:line="700" w:lineRule="exact"/>
        <w:ind w:firstLine="552" w:firstLineChars="23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被授权人在授权书有效期内签署的所有文件不因授权的撤消而失效。</w:t>
      </w:r>
    </w:p>
    <w:p>
      <w:pPr>
        <w:tabs>
          <w:tab w:val="left" w:pos="0"/>
          <w:tab w:val="left" w:pos="720"/>
          <w:tab w:val="left" w:pos="1440"/>
          <w:tab w:val="left" w:pos="2160"/>
          <w:tab w:val="left" w:pos="2880"/>
          <w:tab w:val="left" w:pos="3600"/>
          <w:tab w:val="left" w:pos="4320"/>
        </w:tabs>
        <w:autoSpaceDE w:val="0"/>
        <w:autoSpaceDN w:val="0"/>
        <w:adjustRightInd w:val="0"/>
        <w:spacing w:line="700" w:lineRule="exact"/>
        <w:ind w:firstLine="64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全权代表无转委托权。特此委托。</w:t>
      </w: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left"/>
        <w:rPr>
          <w:rFonts w:asciiTheme="minorEastAsia" w:hAnsiTheme="minorEastAsia" w:eastAsiaTheme="minorEastAsia" w:cstheme="minorEastAsia"/>
          <w:color w:val="auto"/>
          <w:sz w:val="24"/>
          <w:szCs w:val="24"/>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69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（附法定代表人、授权代理人身份证明复印件）</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70"/>
        <w:rPr>
          <w:rFonts w:asciiTheme="minorEastAsia" w:hAnsiTheme="minorEastAsia" w:eastAsiaTheme="minorEastAsia" w:cstheme="minorEastAsia"/>
          <w:color w:val="auto"/>
          <w:sz w:val="24"/>
          <w:szCs w:val="24"/>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7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授权代理人姓名：     性别：       年龄：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70"/>
        <w:rPr>
          <w:rFonts w:asciiTheme="minorEastAsia" w:hAnsiTheme="minorEastAsia" w:eastAsiaTheme="minorEastAsia" w:cstheme="minorEastAsia"/>
          <w:color w:val="auto"/>
          <w:sz w:val="24"/>
          <w:szCs w:val="24"/>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7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      部门：   职务:        联系方式：</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Theme="minorEastAsia" w:hAnsiTheme="minorEastAsia" w:eastAsiaTheme="minorEastAsia" w:cstheme="minorEastAsia"/>
          <w:color w:val="auto"/>
          <w:sz w:val="24"/>
          <w:szCs w:val="24"/>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供应商（盖章）：</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Theme="minorEastAsia" w:hAnsiTheme="minorEastAsia" w:eastAsiaTheme="minorEastAsia" w:cstheme="minorEastAsia"/>
          <w:color w:val="auto"/>
          <w:sz w:val="24"/>
          <w:szCs w:val="24"/>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Theme="minorEastAsia" w:hAnsiTheme="minorEastAsia" w:eastAsiaTheme="minorEastAsia" w:cstheme="minorEastAsia"/>
          <w:color w:val="auto"/>
          <w:sz w:val="24"/>
          <w:szCs w:val="24"/>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授权代理人：（签字或盖章）：</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Theme="minorEastAsia" w:hAnsiTheme="minorEastAsia" w:eastAsiaTheme="minorEastAsia" w:cstheme="minorEastAsia"/>
          <w:color w:val="auto"/>
          <w:sz w:val="24"/>
          <w:szCs w:val="24"/>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pPr>
        <w:pStyle w:val="29"/>
        <w:spacing w:line="360" w:lineRule="auto"/>
        <w:rPr>
          <w:rFonts w:asciiTheme="minorEastAsia" w:hAnsiTheme="minorEastAsia" w:eastAsiaTheme="minorEastAsia" w:cstheme="minorEastAsia"/>
          <w:color w:val="auto"/>
          <w:sz w:val="30"/>
          <w:szCs w:val="30"/>
          <w:highlight w:val="none"/>
        </w:rPr>
      </w:pPr>
      <w:bookmarkStart w:id="90" w:name="_Toc323129569"/>
      <w:bookmarkStart w:id="91" w:name="_Toc323130136"/>
      <w:bookmarkStart w:id="92" w:name="_Toc325620730"/>
      <w:bookmarkStart w:id="93" w:name="_Toc13977"/>
      <w:bookmarkStart w:id="94" w:name="_Toc332979572"/>
      <w:r>
        <w:rPr>
          <w:rFonts w:hint="eastAsia" w:asciiTheme="minorEastAsia" w:hAnsiTheme="minorEastAsia" w:eastAsiaTheme="minorEastAsia" w:cstheme="minorEastAsia"/>
          <w:color w:val="auto"/>
          <w:sz w:val="30"/>
          <w:szCs w:val="30"/>
          <w:highlight w:val="none"/>
        </w:rPr>
        <w:t>附件</w:t>
      </w:r>
      <w:bookmarkEnd w:id="90"/>
      <w:bookmarkEnd w:id="91"/>
      <w:r>
        <w:rPr>
          <w:rFonts w:hint="eastAsia" w:asciiTheme="minorEastAsia" w:hAnsiTheme="minorEastAsia" w:eastAsiaTheme="minorEastAsia" w:cstheme="minorEastAsia"/>
          <w:color w:val="auto"/>
          <w:sz w:val="30"/>
          <w:szCs w:val="30"/>
          <w:highlight w:val="none"/>
        </w:rPr>
        <w:t>：</w:t>
      </w:r>
      <w:bookmarkEnd w:id="92"/>
      <w:bookmarkEnd w:id="93"/>
      <w:bookmarkEnd w:id="94"/>
      <w:r>
        <w:rPr>
          <w:rFonts w:hint="eastAsia" w:asciiTheme="minorEastAsia" w:hAnsiTheme="minorEastAsia" w:eastAsiaTheme="minorEastAsia" w:cstheme="minorEastAsia"/>
          <w:color w:val="auto"/>
          <w:sz w:val="30"/>
          <w:szCs w:val="30"/>
          <w:highlight w:val="none"/>
        </w:rPr>
        <w:t>开标一览表</w:t>
      </w:r>
    </w:p>
    <w:p>
      <w:pPr>
        <w:pStyle w:val="13"/>
        <w:spacing w:line="360" w:lineRule="auto"/>
        <w:jc w:val="center"/>
        <w:rPr>
          <w:rFonts w:asciiTheme="minorEastAsia" w:hAnsiTheme="minorEastAsia" w:eastAsiaTheme="minorEastAsia" w:cstheme="minorEastAsia"/>
          <w:color w:val="auto"/>
          <w:sz w:val="21"/>
          <w:szCs w:val="28"/>
          <w:highlight w:val="none"/>
        </w:rPr>
      </w:pPr>
    </w:p>
    <w:p>
      <w:pPr>
        <w:pStyle w:val="13"/>
        <w:spacing w:line="360" w:lineRule="auto"/>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开标一览表</w:t>
      </w:r>
    </w:p>
    <w:p>
      <w:pPr>
        <w:pStyle w:val="13"/>
        <w:spacing w:line="360" w:lineRule="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4"/>
          <w:szCs w:val="24"/>
          <w:highlight w:val="none"/>
          <w:u w:val="single"/>
        </w:rPr>
        <w:t>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w:t>
      </w:r>
    </w:p>
    <w:p>
      <w:pPr>
        <w:tabs>
          <w:tab w:val="left" w:pos="0"/>
          <w:tab w:val="left" w:pos="720"/>
          <w:tab w:val="left" w:pos="1440"/>
          <w:tab w:val="left" w:pos="2160"/>
          <w:tab w:val="left" w:pos="2880"/>
          <w:tab w:val="left" w:pos="3600"/>
          <w:tab w:val="left" w:pos="4320"/>
        </w:tabs>
        <w:autoSpaceDE w:val="0"/>
        <w:autoSpaceDN w:val="0"/>
        <w:adjustRightInd w:val="0"/>
        <w:spacing w:line="7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供应商名称（盖章）：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法定代表人或</w:t>
      </w:r>
      <w:r>
        <w:rPr>
          <w:rFonts w:hint="eastAsia" w:asciiTheme="minorEastAsia" w:hAnsiTheme="minorEastAsia" w:eastAsiaTheme="minorEastAsia" w:cstheme="minorEastAsia"/>
          <w:color w:val="auto"/>
          <w:sz w:val="24"/>
          <w:szCs w:val="24"/>
          <w:highlight w:val="none"/>
          <w:lang w:eastAsia="zh-CN"/>
        </w:rPr>
        <w:t>其</w:t>
      </w:r>
      <w:r>
        <w:rPr>
          <w:rFonts w:hint="eastAsia" w:asciiTheme="minorEastAsia" w:hAnsiTheme="minorEastAsia" w:eastAsiaTheme="minorEastAsia" w:cstheme="minorEastAsia"/>
          <w:color w:val="auto"/>
          <w:sz w:val="24"/>
          <w:szCs w:val="24"/>
          <w:highlight w:val="none"/>
        </w:rPr>
        <w:t>授权代理人签字：</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p>
    <w:tbl>
      <w:tblPr>
        <w:tblStyle w:val="32"/>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6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trPr>
        <w:tc>
          <w:tcPr>
            <w:tcW w:w="216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p>
        </w:tc>
        <w:tc>
          <w:tcPr>
            <w:tcW w:w="6531"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1" w:hRule="atLeast"/>
        </w:trPr>
        <w:tc>
          <w:tcPr>
            <w:tcW w:w="216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40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投标报价（人民币/元）</w:t>
            </w:r>
          </w:p>
        </w:tc>
        <w:tc>
          <w:tcPr>
            <w:tcW w:w="6531"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40" w:firstLineChars="1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大写：</w:t>
            </w:r>
            <w:r>
              <w:rPr>
                <w:rFonts w:hint="eastAsia" w:asciiTheme="minorEastAsia" w:hAnsiTheme="minorEastAsia" w:eastAsiaTheme="minorEastAsia" w:cstheme="minorEastAsia"/>
                <w:color w:val="auto"/>
                <w:sz w:val="24"/>
                <w:highlight w:val="none"/>
                <w:u w:val="single"/>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40" w:firstLineChars="1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小写：</w:t>
            </w:r>
            <w:r>
              <w:rPr>
                <w:rFonts w:hint="eastAsia" w:asciiTheme="minorEastAsia" w:hAnsiTheme="minorEastAsia" w:eastAsiaTheme="minorEastAsia" w:cstheme="minorEastAsia"/>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 w:hRule="atLeast"/>
        </w:trPr>
        <w:tc>
          <w:tcPr>
            <w:tcW w:w="216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供货期</w:t>
            </w:r>
          </w:p>
        </w:tc>
        <w:tc>
          <w:tcPr>
            <w:tcW w:w="6531"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40" w:firstLineChars="100"/>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216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质保期</w:t>
            </w:r>
          </w:p>
        </w:tc>
        <w:tc>
          <w:tcPr>
            <w:tcW w:w="6531"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40" w:firstLineChars="100"/>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2167" w:type="dxa"/>
            <w:vAlign w:val="center"/>
          </w:tcPr>
          <w:p>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对竞争性磋商文件的认同程度</w:t>
            </w:r>
          </w:p>
        </w:tc>
        <w:tc>
          <w:tcPr>
            <w:tcW w:w="6531"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2167" w:type="dxa"/>
            <w:vAlign w:val="center"/>
          </w:tcPr>
          <w:p>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c>
          <w:tcPr>
            <w:tcW w:w="6531"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asciiTheme="minorEastAsia" w:hAnsiTheme="minorEastAsia" w:eastAsiaTheme="minorEastAsia" w:cstheme="minorEastAsia"/>
                <w:color w:val="auto"/>
                <w:sz w:val="24"/>
                <w:highlight w:val="none"/>
              </w:rPr>
            </w:pPr>
          </w:p>
        </w:tc>
      </w:tr>
    </w:tbl>
    <w:p>
      <w:pPr>
        <w:spacing w:line="500" w:lineRule="exact"/>
        <w:ind w:left="-238" w:leftChars="-85" w:firstLine="537" w:firstLineChars="22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注：为方便唱价，请供应商另外准备二份“开标一览表”单独密封在一起，并与响应文件同时提交。</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Theme="minorEastAsia" w:hAnsiTheme="minorEastAsia" w:eastAsiaTheme="minorEastAsia" w:cstheme="minorEastAsia"/>
          <w:color w:val="auto"/>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spacing w:line="360" w:lineRule="auto"/>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95" w:name="_Toc323129570"/>
      <w:bookmarkStart w:id="96" w:name="_Toc323130137"/>
      <w:bookmarkStart w:id="97" w:name="_Toc26595"/>
      <w:bookmarkStart w:id="98" w:name="_Toc325620731"/>
      <w:bookmarkStart w:id="99" w:name="_Toc332979573"/>
    </w:p>
    <w:bookmarkEnd w:id="95"/>
    <w:bookmarkEnd w:id="96"/>
    <w:bookmarkEnd w:id="97"/>
    <w:bookmarkEnd w:id="98"/>
    <w:bookmarkEnd w:id="99"/>
    <w:p>
      <w:pPr>
        <w:pStyle w:val="10"/>
        <w:spacing w:before="0" w:after="0" w:line="360" w:lineRule="auto"/>
        <w:ind w:right="378" w:rightChars="135"/>
        <w:jc w:val="left"/>
        <w:rPr>
          <w:rFonts w:hint="eastAsia" w:asciiTheme="minorEastAsia" w:hAnsiTheme="minorEastAsia" w:eastAsiaTheme="minorEastAsia" w:cstheme="minorEastAsia"/>
          <w:b/>
          <w:bCs/>
          <w:color w:val="auto"/>
          <w:sz w:val="30"/>
          <w:szCs w:val="30"/>
          <w:highlight w:val="none"/>
        </w:rPr>
      </w:pPr>
      <w:bookmarkStart w:id="100" w:name="_Toc325620733"/>
      <w:bookmarkStart w:id="101" w:name="_Toc323129572"/>
      <w:bookmarkStart w:id="102" w:name="_Toc323130139"/>
      <w:bookmarkStart w:id="103" w:name="_Toc332979574"/>
      <w:r>
        <w:rPr>
          <w:rFonts w:hint="eastAsia" w:asciiTheme="minorEastAsia" w:hAnsiTheme="minorEastAsia" w:eastAsiaTheme="minorEastAsia" w:cstheme="minorEastAsia"/>
          <w:b/>
          <w:bCs/>
          <w:color w:val="auto"/>
          <w:sz w:val="30"/>
          <w:szCs w:val="30"/>
          <w:highlight w:val="none"/>
        </w:rPr>
        <w:t>附件：</w:t>
      </w:r>
      <w:bookmarkEnd w:id="100"/>
      <w:bookmarkEnd w:id="101"/>
      <w:bookmarkEnd w:id="102"/>
      <w:bookmarkEnd w:id="103"/>
      <w:bookmarkStart w:id="104" w:name="_Toc21853"/>
      <w:bookmarkStart w:id="105" w:name="_Toc323130140"/>
      <w:bookmarkStart w:id="106" w:name="_Toc323129573"/>
      <w:bookmarkStart w:id="107" w:name="_Toc332979575"/>
      <w:bookmarkStart w:id="108" w:name="_Toc325620734"/>
      <w:r>
        <w:rPr>
          <w:rFonts w:hint="eastAsia" w:asciiTheme="minorEastAsia" w:hAnsiTheme="minorEastAsia" w:eastAsiaTheme="minorEastAsia" w:cstheme="minorEastAsia"/>
          <w:b/>
          <w:bCs/>
          <w:color w:val="auto"/>
          <w:sz w:val="30"/>
          <w:szCs w:val="30"/>
          <w:highlight w:val="none"/>
        </w:rPr>
        <w:t>报价明细表</w:t>
      </w:r>
    </w:p>
    <w:p>
      <w:pPr>
        <w:jc w:val="center"/>
        <w:rPr>
          <w:b w:val="0"/>
          <w:bCs w:val="0"/>
        </w:rPr>
      </w:pPr>
      <w:r>
        <w:rPr>
          <w:rFonts w:hint="eastAsia" w:asciiTheme="minorEastAsia" w:hAnsiTheme="minorEastAsia" w:eastAsiaTheme="minorEastAsia" w:cstheme="minorEastAsia"/>
          <w:b w:val="0"/>
          <w:bCs w:val="0"/>
          <w:color w:val="auto"/>
          <w:sz w:val="30"/>
          <w:szCs w:val="30"/>
          <w:highlight w:val="none"/>
        </w:rPr>
        <w:t>报价明细表</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u w:val="single"/>
        </w:rPr>
      </w:pPr>
      <w:bookmarkStart w:id="109" w:name="_Toc325731767"/>
      <w:bookmarkStart w:id="110" w:name="_Toc326783441"/>
      <w:bookmarkStart w:id="111" w:name="_Toc325446808"/>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w:t>
      </w:r>
    </w:p>
    <w:p>
      <w:pPr>
        <w:spacing w:line="360" w:lineRule="auto"/>
        <w:ind w:right="18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单位：元</w:t>
      </w:r>
      <w:bookmarkEnd w:id="109"/>
      <w:bookmarkEnd w:id="110"/>
      <w:bookmarkEnd w:id="111"/>
    </w:p>
    <w:tbl>
      <w:tblPr>
        <w:tblStyle w:val="32"/>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140"/>
        <w:gridCol w:w="1230"/>
        <w:gridCol w:w="1360"/>
        <w:gridCol w:w="915"/>
        <w:gridCol w:w="761"/>
        <w:gridCol w:w="698"/>
        <w:gridCol w:w="868"/>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915" w:type="dxa"/>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140" w:type="dxa"/>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货物名称</w:t>
            </w:r>
          </w:p>
        </w:tc>
        <w:tc>
          <w:tcPr>
            <w:tcW w:w="1230" w:type="dxa"/>
            <w:vAlign w:val="center"/>
          </w:tcPr>
          <w:p>
            <w:pPr>
              <w:tabs>
                <w:tab w:val="left" w:pos="1337"/>
              </w:tabs>
              <w:ind w:left="-42" w:right="-42"/>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品牌</w:t>
            </w:r>
          </w:p>
        </w:tc>
        <w:tc>
          <w:tcPr>
            <w:tcW w:w="1360" w:type="dxa"/>
            <w:vAlign w:val="center"/>
          </w:tcPr>
          <w:p>
            <w:pPr>
              <w:tabs>
                <w:tab w:val="left" w:pos="1337"/>
              </w:tabs>
              <w:ind w:left="-42" w:right="-42"/>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规格</w:t>
            </w:r>
            <w:r>
              <w:rPr>
                <w:rFonts w:hint="eastAsia" w:asciiTheme="minorEastAsia" w:hAnsiTheme="minorEastAsia" w:eastAsiaTheme="minorEastAsia" w:cstheme="minorEastAsia"/>
                <w:color w:val="auto"/>
                <w:sz w:val="24"/>
                <w:highlight w:val="none"/>
                <w:lang w:val="en-US" w:eastAsia="zh-CN"/>
              </w:rPr>
              <w:t>/型号</w:t>
            </w:r>
          </w:p>
        </w:tc>
        <w:tc>
          <w:tcPr>
            <w:tcW w:w="915" w:type="dxa"/>
            <w:vAlign w:val="center"/>
          </w:tcPr>
          <w:p>
            <w:pPr>
              <w:tabs>
                <w:tab w:val="left" w:pos="1337"/>
              </w:tabs>
              <w:ind w:left="-42" w:right="-42"/>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产地</w:t>
            </w:r>
          </w:p>
        </w:tc>
        <w:tc>
          <w:tcPr>
            <w:tcW w:w="761" w:type="dxa"/>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单价</w:t>
            </w:r>
          </w:p>
        </w:tc>
        <w:tc>
          <w:tcPr>
            <w:tcW w:w="698" w:type="dxa"/>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868" w:type="dxa"/>
            <w:vAlign w:val="center"/>
          </w:tcPr>
          <w:p>
            <w:pPr>
              <w:tabs>
                <w:tab w:val="left" w:pos="1337"/>
              </w:tabs>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总价</w:t>
            </w:r>
          </w:p>
        </w:tc>
        <w:tc>
          <w:tcPr>
            <w:tcW w:w="977" w:type="dxa"/>
            <w:vAlign w:val="center"/>
          </w:tcPr>
          <w:p>
            <w:pPr>
              <w:tabs>
                <w:tab w:val="left" w:pos="1337"/>
              </w:tabs>
              <w:ind w:left="-42" w:right="-42"/>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91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140"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230"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360"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91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761"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69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86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977" w:type="dxa"/>
            <w:vAlign w:val="center"/>
          </w:tcPr>
          <w:p>
            <w:pPr>
              <w:tabs>
                <w:tab w:val="left" w:pos="1337"/>
              </w:tabs>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91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140"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230"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360"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91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761"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69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86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977" w:type="dxa"/>
            <w:vAlign w:val="center"/>
          </w:tcPr>
          <w:p>
            <w:pPr>
              <w:tabs>
                <w:tab w:val="left" w:pos="1337"/>
              </w:tabs>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91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140"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230"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360"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91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761"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69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86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977" w:type="dxa"/>
            <w:vAlign w:val="center"/>
          </w:tcPr>
          <w:p>
            <w:pPr>
              <w:tabs>
                <w:tab w:val="left" w:pos="1337"/>
              </w:tabs>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91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140"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230"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360"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91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761"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69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86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977" w:type="dxa"/>
            <w:vAlign w:val="center"/>
          </w:tcPr>
          <w:p>
            <w:pPr>
              <w:tabs>
                <w:tab w:val="left" w:pos="1337"/>
              </w:tabs>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7019" w:type="dxa"/>
            <w:gridSpan w:val="7"/>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专用工具费</w:t>
            </w:r>
          </w:p>
        </w:tc>
        <w:tc>
          <w:tcPr>
            <w:tcW w:w="86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977" w:type="dxa"/>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7019" w:type="dxa"/>
            <w:gridSpan w:val="7"/>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备品备件费</w:t>
            </w:r>
          </w:p>
        </w:tc>
        <w:tc>
          <w:tcPr>
            <w:tcW w:w="86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977" w:type="dxa"/>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7019" w:type="dxa"/>
            <w:gridSpan w:val="7"/>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运输、安装及保险等费用</w:t>
            </w:r>
          </w:p>
        </w:tc>
        <w:tc>
          <w:tcPr>
            <w:tcW w:w="86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977" w:type="dxa"/>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2055" w:type="dxa"/>
            <w:gridSpan w:val="2"/>
            <w:vMerge w:val="restart"/>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6809" w:type="dxa"/>
            <w:gridSpan w:val="7"/>
            <w:vAlign w:val="center"/>
          </w:tcPr>
          <w:p>
            <w:pPr>
              <w:tabs>
                <w:tab w:val="left" w:pos="1337"/>
              </w:tabs>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055" w:type="dxa"/>
            <w:gridSpan w:val="2"/>
            <w:vMerge w:val="continue"/>
            <w:vAlign w:val="center"/>
          </w:tcPr>
          <w:p>
            <w:pPr>
              <w:tabs>
                <w:tab w:val="left" w:pos="1337"/>
              </w:tabs>
              <w:jc w:val="center"/>
              <w:rPr>
                <w:rFonts w:asciiTheme="minorEastAsia" w:hAnsiTheme="minorEastAsia" w:eastAsiaTheme="minorEastAsia" w:cstheme="minorEastAsia"/>
                <w:color w:val="auto"/>
                <w:sz w:val="24"/>
                <w:highlight w:val="none"/>
              </w:rPr>
            </w:pPr>
          </w:p>
        </w:tc>
        <w:tc>
          <w:tcPr>
            <w:tcW w:w="6809" w:type="dxa"/>
            <w:gridSpan w:val="7"/>
            <w:vAlign w:val="center"/>
          </w:tcPr>
          <w:p>
            <w:pPr>
              <w:tabs>
                <w:tab w:val="left" w:pos="1337"/>
              </w:tabs>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大写：</w:t>
            </w:r>
          </w:p>
        </w:tc>
      </w:tr>
    </w:tbl>
    <w:p>
      <w:pPr>
        <w:ind w:left="840" w:hanging="840" w:hangingChars="3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 1.投标的所有货物均须标明品牌、详细配置、产地，否则将作为非实质性响应投标予以拒绝。</w:t>
      </w:r>
    </w:p>
    <w:p>
      <w:pPr>
        <w:numPr>
          <w:ilvl w:val="0"/>
          <w:numId w:val="0"/>
        </w:numPr>
        <w:ind w:left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此表可根据需要同格式扩展。</w:t>
      </w:r>
    </w:p>
    <w:p>
      <w:pPr>
        <w:widowControl/>
        <w:spacing w:line="480" w:lineRule="auto"/>
        <w:jc w:val="left"/>
        <w:rPr>
          <w:rFonts w:hAnsi="宋体"/>
          <w:color w:val="auto"/>
          <w:kern w:val="0"/>
          <w:sz w:val="24"/>
          <w:szCs w:val="24"/>
          <w:highlight w:val="none"/>
          <w:lang w:bidi="ar"/>
        </w:rPr>
      </w:pPr>
      <w:r>
        <w:rPr>
          <w:rFonts w:hint="eastAsia" w:hAnsi="宋体"/>
          <w:color w:val="auto"/>
          <w:kern w:val="0"/>
          <w:sz w:val="24"/>
          <w:szCs w:val="24"/>
          <w:highlight w:val="none"/>
          <w:lang w:bidi="ar"/>
        </w:rPr>
        <w:t xml:space="preserve">供应商 （公章）： </w:t>
      </w:r>
    </w:p>
    <w:p>
      <w:pPr>
        <w:widowControl/>
        <w:spacing w:line="480" w:lineRule="auto"/>
        <w:jc w:val="left"/>
        <w:rPr>
          <w:rFonts w:asciiTheme="minorEastAsia" w:hAnsiTheme="minorEastAsia" w:eastAsiaTheme="minorEastAsia" w:cstheme="minorEastAsia"/>
          <w:color w:val="auto"/>
          <w:sz w:val="24"/>
          <w:szCs w:val="24"/>
          <w:highlight w:val="none"/>
        </w:rPr>
      </w:pPr>
      <w:r>
        <w:rPr>
          <w:rFonts w:hint="eastAsia" w:hAnsi="宋体"/>
          <w:color w:val="auto"/>
          <w:kern w:val="0"/>
          <w:sz w:val="24"/>
          <w:szCs w:val="24"/>
          <w:highlight w:val="none"/>
          <w:lang w:bidi="ar"/>
        </w:rPr>
        <w:t>法定代表人或</w:t>
      </w:r>
      <w:r>
        <w:rPr>
          <w:rFonts w:hint="eastAsia" w:ascii="宋体" w:hAnsi="宋体" w:cs="宋体"/>
          <w:color w:val="auto"/>
          <w:sz w:val="24"/>
          <w:szCs w:val="20"/>
          <w:lang w:val="zh-CN"/>
        </w:rPr>
        <w:t>其委托代理人</w:t>
      </w:r>
      <w:r>
        <w:rPr>
          <w:rFonts w:hint="eastAsia" w:asciiTheme="minorEastAsia" w:hAnsiTheme="minorEastAsia" w:eastAsiaTheme="minorEastAsia" w:cstheme="minorEastAsia"/>
          <w:color w:val="auto"/>
          <w:sz w:val="24"/>
          <w:szCs w:val="24"/>
          <w:highlight w:val="none"/>
        </w:rPr>
        <w:t>人</w:t>
      </w:r>
      <w:r>
        <w:rPr>
          <w:rFonts w:hint="eastAsia" w:hAnsi="宋体"/>
          <w:color w:val="auto"/>
          <w:kern w:val="0"/>
          <w:sz w:val="24"/>
          <w:szCs w:val="24"/>
          <w:highlight w:val="none"/>
          <w:lang w:bidi="ar"/>
        </w:rPr>
        <w:t xml:space="preserve">：（签字或印章） </w:t>
      </w:r>
    </w:p>
    <w:p>
      <w:pPr>
        <w:spacing w:line="360" w:lineRule="auto"/>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pStyle w:val="2"/>
        <w:numPr>
          <w:ilvl w:val="0"/>
          <w:numId w:val="0"/>
        </w:numPr>
      </w:pPr>
    </w:p>
    <w:p>
      <w:pPr>
        <w:pStyle w:val="29"/>
        <w:spacing w:line="360" w:lineRule="auto"/>
        <w:jc w:val="right"/>
        <w:outlineLvl w:val="9"/>
        <w:rPr>
          <w:rFonts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30"/>
          <w:szCs w:val="30"/>
          <w:highlight w:val="none"/>
        </w:rPr>
        <w:br w:type="page"/>
      </w:r>
      <w:bookmarkEnd w:id="104"/>
      <w:bookmarkStart w:id="112" w:name="_Toc5893"/>
    </w:p>
    <w:p>
      <w:pPr>
        <w:pStyle w:val="29"/>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30"/>
          <w:szCs w:val="30"/>
          <w:highlight w:val="none"/>
        </w:rPr>
        <w:t>附件：商务响应表</w:t>
      </w: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商务响应表</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w:t>
      </w:r>
    </w:p>
    <w:p>
      <w:pPr>
        <w:spacing w:line="360" w:lineRule="auto"/>
        <w:ind w:right="18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 xml:space="preserve">                                                    </w:t>
      </w:r>
    </w:p>
    <w:tbl>
      <w:tblPr>
        <w:tblStyle w:val="32"/>
        <w:tblW w:w="8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755"/>
        <w:gridCol w:w="1545"/>
        <w:gridCol w:w="1575"/>
        <w:gridCol w:w="1798"/>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51" w:type="dxa"/>
            <w:vMerge w:val="restart"/>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3300" w:type="dxa"/>
            <w:gridSpan w:val="2"/>
            <w:vAlign w:val="center"/>
          </w:tcPr>
          <w:p>
            <w:pPr>
              <w:tabs>
                <w:tab w:val="left" w:pos="1337"/>
              </w:tabs>
              <w:ind w:left="-42" w:right="-42"/>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竞争性磋商文件</w:t>
            </w:r>
          </w:p>
        </w:tc>
        <w:tc>
          <w:tcPr>
            <w:tcW w:w="3373" w:type="dxa"/>
            <w:gridSpan w:val="2"/>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w:t>
            </w:r>
          </w:p>
        </w:tc>
        <w:tc>
          <w:tcPr>
            <w:tcW w:w="1277" w:type="dxa"/>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751" w:type="dxa"/>
            <w:vMerge w:val="continue"/>
            <w:vAlign w:val="center"/>
          </w:tcPr>
          <w:p>
            <w:pPr>
              <w:tabs>
                <w:tab w:val="left" w:pos="1337"/>
              </w:tabs>
              <w:jc w:val="center"/>
              <w:rPr>
                <w:rFonts w:asciiTheme="minorEastAsia" w:hAnsiTheme="minorEastAsia" w:eastAsiaTheme="minorEastAsia" w:cstheme="minorEastAsia"/>
                <w:color w:val="auto"/>
                <w:sz w:val="24"/>
                <w:highlight w:val="none"/>
              </w:rPr>
            </w:pPr>
          </w:p>
        </w:tc>
        <w:tc>
          <w:tcPr>
            <w:tcW w:w="1755" w:type="dxa"/>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条款号</w:t>
            </w:r>
          </w:p>
        </w:tc>
        <w:tc>
          <w:tcPr>
            <w:tcW w:w="1545" w:type="dxa"/>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条款内容</w:t>
            </w:r>
          </w:p>
        </w:tc>
        <w:tc>
          <w:tcPr>
            <w:tcW w:w="1575" w:type="dxa"/>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条款号</w:t>
            </w:r>
          </w:p>
        </w:tc>
        <w:tc>
          <w:tcPr>
            <w:tcW w:w="1798" w:type="dxa"/>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条款内容</w:t>
            </w:r>
          </w:p>
        </w:tc>
        <w:tc>
          <w:tcPr>
            <w:tcW w:w="1277" w:type="dxa"/>
            <w:vAlign w:val="center"/>
          </w:tcPr>
          <w:p>
            <w:pPr>
              <w:tabs>
                <w:tab w:val="left" w:pos="1337"/>
              </w:tabs>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751"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75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54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57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79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277" w:type="dxa"/>
            <w:vAlign w:val="center"/>
          </w:tcPr>
          <w:p>
            <w:pPr>
              <w:tabs>
                <w:tab w:val="left" w:pos="1337"/>
              </w:tabs>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751"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75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54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57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79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277" w:type="dxa"/>
            <w:vAlign w:val="center"/>
          </w:tcPr>
          <w:p>
            <w:pPr>
              <w:tabs>
                <w:tab w:val="left" w:pos="1337"/>
              </w:tabs>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751"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75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54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57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79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277" w:type="dxa"/>
            <w:vAlign w:val="center"/>
          </w:tcPr>
          <w:p>
            <w:pPr>
              <w:tabs>
                <w:tab w:val="left" w:pos="1337"/>
              </w:tabs>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751"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75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54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57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79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277" w:type="dxa"/>
            <w:vAlign w:val="center"/>
          </w:tcPr>
          <w:p>
            <w:pPr>
              <w:tabs>
                <w:tab w:val="left" w:pos="1337"/>
              </w:tabs>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751"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75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54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57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79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277" w:type="dxa"/>
            <w:vAlign w:val="center"/>
          </w:tcPr>
          <w:p>
            <w:pPr>
              <w:tabs>
                <w:tab w:val="left" w:pos="1337"/>
              </w:tabs>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751"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75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54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57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79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277" w:type="dxa"/>
            <w:vAlign w:val="center"/>
          </w:tcPr>
          <w:p>
            <w:pPr>
              <w:tabs>
                <w:tab w:val="left" w:pos="1337"/>
              </w:tabs>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751" w:type="dxa"/>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755" w:type="dxa"/>
            <w:vAlign w:val="center"/>
          </w:tcPr>
          <w:p>
            <w:pPr>
              <w:tabs>
                <w:tab w:val="left" w:pos="1337"/>
              </w:tabs>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54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575"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798" w:type="dxa"/>
            <w:vAlign w:val="center"/>
          </w:tcPr>
          <w:p>
            <w:pPr>
              <w:tabs>
                <w:tab w:val="left" w:pos="1337"/>
              </w:tabs>
              <w:jc w:val="center"/>
              <w:rPr>
                <w:rFonts w:asciiTheme="minorEastAsia" w:hAnsiTheme="minorEastAsia" w:eastAsiaTheme="minorEastAsia" w:cstheme="minorEastAsia"/>
                <w:color w:val="auto"/>
                <w:sz w:val="24"/>
                <w:highlight w:val="none"/>
              </w:rPr>
            </w:pPr>
          </w:p>
        </w:tc>
        <w:tc>
          <w:tcPr>
            <w:tcW w:w="1277" w:type="dxa"/>
            <w:vAlign w:val="center"/>
          </w:tcPr>
          <w:p>
            <w:pPr>
              <w:tabs>
                <w:tab w:val="left" w:pos="1337"/>
              </w:tabs>
              <w:jc w:val="center"/>
              <w:rPr>
                <w:rFonts w:asciiTheme="minorEastAsia" w:hAnsiTheme="minorEastAsia" w:eastAsiaTheme="minorEastAsia" w:cstheme="minorEastAsia"/>
                <w:color w:val="auto"/>
                <w:sz w:val="24"/>
                <w:highlight w:val="none"/>
              </w:rPr>
            </w:pPr>
          </w:p>
        </w:tc>
      </w:tr>
    </w:tbl>
    <w:p>
      <w:pPr>
        <w:widowControl/>
        <w:spacing w:line="480" w:lineRule="auto"/>
        <w:jc w:val="left"/>
        <w:rPr>
          <w:rFonts w:hAnsi="宋体"/>
          <w:color w:val="auto"/>
          <w:kern w:val="0"/>
          <w:sz w:val="24"/>
          <w:szCs w:val="24"/>
          <w:highlight w:val="none"/>
          <w:lang w:bidi="ar"/>
        </w:rPr>
      </w:pPr>
      <w:r>
        <w:rPr>
          <w:rFonts w:hint="eastAsia" w:hAnsi="宋体"/>
          <w:color w:val="auto"/>
          <w:kern w:val="0"/>
          <w:sz w:val="24"/>
          <w:szCs w:val="24"/>
          <w:highlight w:val="none"/>
          <w:lang w:bidi="ar"/>
        </w:rPr>
        <w:t xml:space="preserve">供应商 （公章）： </w:t>
      </w:r>
    </w:p>
    <w:p>
      <w:pPr>
        <w:widowControl/>
        <w:spacing w:line="480" w:lineRule="auto"/>
        <w:jc w:val="left"/>
        <w:rPr>
          <w:rFonts w:asciiTheme="minorEastAsia" w:hAnsiTheme="minorEastAsia" w:eastAsiaTheme="minorEastAsia" w:cstheme="minorEastAsia"/>
          <w:color w:val="auto"/>
          <w:sz w:val="24"/>
          <w:szCs w:val="24"/>
          <w:highlight w:val="none"/>
        </w:rPr>
      </w:pPr>
      <w:r>
        <w:rPr>
          <w:rFonts w:hint="eastAsia" w:hAnsi="宋体"/>
          <w:color w:val="auto"/>
          <w:kern w:val="0"/>
          <w:sz w:val="24"/>
          <w:szCs w:val="24"/>
          <w:highlight w:val="none"/>
          <w:lang w:bidi="ar"/>
        </w:rPr>
        <w:t>法定代表人或</w:t>
      </w:r>
      <w:r>
        <w:rPr>
          <w:rFonts w:hint="eastAsia" w:ascii="宋体" w:hAnsi="宋体" w:cs="宋体"/>
          <w:color w:val="auto"/>
          <w:sz w:val="24"/>
          <w:szCs w:val="20"/>
          <w:lang w:val="zh-CN"/>
        </w:rPr>
        <w:t>其委托代理人</w:t>
      </w:r>
      <w:r>
        <w:rPr>
          <w:rFonts w:hint="eastAsia" w:hAnsi="宋体"/>
          <w:color w:val="auto"/>
          <w:kern w:val="0"/>
          <w:sz w:val="24"/>
          <w:szCs w:val="24"/>
          <w:highlight w:val="none"/>
          <w:lang w:bidi="ar"/>
        </w:rPr>
        <w:t xml:space="preserve">：（签字或印章） </w:t>
      </w:r>
    </w:p>
    <w:p>
      <w:pPr>
        <w:spacing w:line="360" w:lineRule="auto"/>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spacing w:line="480" w:lineRule="auto"/>
        <w:ind w:firstLine="480"/>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color w:val="auto"/>
          <w:sz w:val="24"/>
          <w:szCs w:val="24"/>
          <w:highlight w:val="none"/>
        </w:rPr>
        <w:br w:type="page"/>
      </w:r>
    </w:p>
    <w:p>
      <w:pPr>
        <w:widowControl/>
        <w:autoSpaceDE w:val="0"/>
        <w:autoSpaceDN w:val="0"/>
        <w:adjustRightInd w:val="0"/>
        <w:spacing w:before="120" w:after="120" w:line="440" w:lineRule="exact"/>
        <w:ind w:right="-481"/>
        <w:jc w:val="both"/>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rPr>
        <w:t>附件：</w:t>
      </w:r>
      <w:r>
        <w:rPr>
          <w:rFonts w:hint="eastAsia" w:asciiTheme="minorEastAsia" w:hAnsiTheme="minorEastAsia" w:eastAsiaTheme="minorEastAsia" w:cstheme="minorEastAsia"/>
          <w:b/>
          <w:bCs/>
          <w:color w:val="auto"/>
          <w:sz w:val="30"/>
          <w:szCs w:val="30"/>
          <w:highlight w:val="none"/>
          <w:lang w:val="en-US" w:eastAsia="zh-CN"/>
        </w:rPr>
        <w:t>产品明细表</w:t>
      </w:r>
    </w:p>
    <w:p>
      <w:pPr>
        <w:pStyle w:val="2"/>
        <w:rPr>
          <w:rFonts w:hint="eastAsia"/>
          <w:lang w:val="en-US" w:eastAsia="zh-CN"/>
        </w:rPr>
      </w:pPr>
    </w:p>
    <w:p>
      <w:pPr>
        <w:pStyle w:val="2"/>
        <w:jc w:val="center"/>
        <w:rPr>
          <w:rFonts w:hint="eastAsia" w:asciiTheme="minorEastAsia" w:hAnsiTheme="minorEastAsia" w:eastAsiaTheme="minorEastAsia" w:cstheme="minorEastAsia"/>
          <w:b w:val="0"/>
          <w:bCs w:val="0"/>
          <w:cap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aps w:val="0"/>
          <w:color w:val="auto"/>
          <w:kern w:val="2"/>
          <w:sz w:val="28"/>
          <w:szCs w:val="28"/>
          <w:highlight w:val="none"/>
          <w:lang w:val="en-US" w:eastAsia="zh-CN" w:bidi="ar-SA"/>
        </w:rPr>
        <w:t>产品明细表</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w:t>
      </w:r>
    </w:p>
    <w:p>
      <w:pPr>
        <w:rPr>
          <w:rFonts w:hint="eastAsia"/>
          <w:lang w:val="en-US" w:eastAsia="zh-CN"/>
        </w:rPr>
      </w:pPr>
      <w:r>
        <w:rPr>
          <w:rFonts w:hint="eastAsia" w:asciiTheme="minorEastAsia" w:hAnsiTheme="minorEastAsia" w:eastAsiaTheme="minorEastAsia" w:cstheme="minorEastAsia"/>
          <w:color w:val="auto"/>
          <w:sz w:val="24"/>
          <w:szCs w:val="24"/>
          <w:highlight w:val="none"/>
          <w:lang w:eastAsia="zh-CN"/>
        </w:rPr>
        <w:t>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900"/>
        <w:gridCol w:w="1080"/>
        <w:gridCol w:w="1260"/>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tcMar>
              <w:top w:w="100" w:type="dxa"/>
              <w:right w:w="100" w:type="dxa"/>
            </w:tcMar>
            <w:vAlign w:val="center"/>
          </w:tcPr>
          <w:p>
            <w:pPr>
              <w:widowControl/>
              <w:autoSpaceDE w:val="0"/>
              <w:autoSpaceDN w:val="0"/>
              <w:adjustRightInd w:val="0"/>
              <w:spacing w:before="50" w:after="50" w:line="440" w:lineRule="exact"/>
              <w:jc w:val="center"/>
              <w:rPr>
                <w:rStyle w:val="137"/>
                <w:rFonts w:ascii="宋体" w:hAnsi="宋体" w:eastAsia="宋体"/>
                <w:color w:val="auto"/>
                <w:sz w:val="24"/>
                <w:szCs w:val="24"/>
              </w:rPr>
            </w:pPr>
            <w:r>
              <w:rPr>
                <w:rStyle w:val="137"/>
                <w:rFonts w:hint="eastAsia" w:ascii="宋体" w:hAnsi="宋体" w:eastAsia="宋体"/>
                <w:color w:val="auto"/>
                <w:sz w:val="24"/>
                <w:szCs w:val="24"/>
              </w:rPr>
              <w:t>序号</w:t>
            </w:r>
          </w:p>
        </w:tc>
        <w:tc>
          <w:tcPr>
            <w:tcW w:w="1440" w:type="dxa"/>
            <w:noWrap w:val="0"/>
            <w:tcMar>
              <w:top w:w="100" w:type="dxa"/>
              <w:right w:w="100" w:type="dxa"/>
            </w:tcMar>
            <w:vAlign w:val="center"/>
          </w:tcPr>
          <w:p>
            <w:pPr>
              <w:widowControl/>
              <w:autoSpaceDE w:val="0"/>
              <w:autoSpaceDN w:val="0"/>
              <w:adjustRightInd w:val="0"/>
              <w:spacing w:before="50" w:after="50" w:line="440" w:lineRule="exact"/>
              <w:jc w:val="center"/>
              <w:rPr>
                <w:rStyle w:val="137"/>
                <w:rFonts w:ascii="宋体" w:hAnsi="宋体" w:eastAsia="宋体"/>
                <w:color w:val="auto"/>
                <w:sz w:val="24"/>
                <w:szCs w:val="24"/>
              </w:rPr>
            </w:pPr>
            <w:r>
              <w:rPr>
                <w:rStyle w:val="137"/>
                <w:rFonts w:hint="eastAsia" w:ascii="宋体" w:hAnsi="宋体" w:eastAsia="宋体"/>
                <w:color w:val="auto"/>
                <w:sz w:val="24"/>
                <w:szCs w:val="24"/>
                <w:lang w:eastAsia="zh-CN"/>
              </w:rPr>
              <w:t>产品</w:t>
            </w:r>
            <w:r>
              <w:rPr>
                <w:rStyle w:val="137"/>
                <w:rFonts w:hint="eastAsia" w:ascii="宋体" w:hAnsi="宋体" w:eastAsia="宋体"/>
                <w:color w:val="auto"/>
                <w:sz w:val="24"/>
                <w:szCs w:val="24"/>
              </w:rPr>
              <w:t>名称</w:t>
            </w:r>
          </w:p>
        </w:tc>
        <w:tc>
          <w:tcPr>
            <w:tcW w:w="900" w:type="dxa"/>
            <w:noWrap w:val="0"/>
            <w:tcMar>
              <w:top w:w="100" w:type="dxa"/>
              <w:right w:w="100" w:type="dxa"/>
            </w:tcMar>
            <w:vAlign w:val="center"/>
          </w:tcPr>
          <w:p>
            <w:pPr>
              <w:widowControl/>
              <w:autoSpaceDE w:val="0"/>
              <w:autoSpaceDN w:val="0"/>
              <w:adjustRightInd w:val="0"/>
              <w:spacing w:before="50" w:after="50" w:line="440" w:lineRule="exact"/>
              <w:jc w:val="center"/>
              <w:rPr>
                <w:rStyle w:val="137"/>
                <w:rFonts w:ascii="宋体" w:hAnsi="宋体" w:eastAsia="宋体"/>
                <w:color w:val="auto"/>
                <w:sz w:val="24"/>
                <w:szCs w:val="24"/>
              </w:rPr>
            </w:pPr>
            <w:r>
              <w:rPr>
                <w:rStyle w:val="137"/>
                <w:rFonts w:hint="eastAsia" w:ascii="宋体" w:hAnsi="宋体" w:eastAsia="宋体"/>
                <w:color w:val="auto"/>
                <w:sz w:val="24"/>
                <w:szCs w:val="24"/>
              </w:rPr>
              <w:t>品牌</w:t>
            </w:r>
          </w:p>
        </w:tc>
        <w:tc>
          <w:tcPr>
            <w:tcW w:w="1080" w:type="dxa"/>
            <w:noWrap w:val="0"/>
            <w:tcMar>
              <w:top w:w="100" w:type="dxa"/>
              <w:right w:w="100" w:type="dxa"/>
            </w:tcMar>
            <w:vAlign w:val="center"/>
          </w:tcPr>
          <w:p>
            <w:pPr>
              <w:widowControl/>
              <w:autoSpaceDE w:val="0"/>
              <w:autoSpaceDN w:val="0"/>
              <w:adjustRightInd w:val="0"/>
              <w:spacing w:before="50" w:after="50" w:line="440" w:lineRule="exact"/>
              <w:jc w:val="center"/>
              <w:rPr>
                <w:rStyle w:val="137"/>
                <w:rFonts w:ascii="宋体" w:hAnsi="宋体" w:eastAsia="宋体"/>
                <w:color w:val="auto"/>
                <w:sz w:val="24"/>
                <w:szCs w:val="24"/>
              </w:rPr>
            </w:pPr>
            <w:r>
              <w:rPr>
                <w:rStyle w:val="137"/>
                <w:rFonts w:hint="eastAsia" w:ascii="宋体" w:hAnsi="宋体" w:eastAsia="宋体"/>
                <w:color w:val="auto"/>
                <w:sz w:val="24"/>
                <w:szCs w:val="24"/>
              </w:rPr>
              <w:t>产地</w:t>
            </w:r>
          </w:p>
        </w:tc>
        <w:tc>
          <w:tcPr>
            <w:tcW w:w="1260" w:type="dxa"/>
            <w:noWrap w:val="0"/>
            <w:tcMar>
              <w:top w:w="100" w:type="dxa"/>
              <w:right w:w="100" w:type="dxa"/>
            </w:tcMar>
            <w:vAlign w:val="center"/>
          </w:tcPr>
          <w:p>
            <w:pPr>
              <w:widowControl/>
              <w:autoSpaceDE w:val="0"/>
              <w:autoSpaceDN w:val="0"/>
              <w:adjustRightInd w:val="0"/>
              <w:spacing w:before="50" w:after="50" w:line="440" w:lineRule="exact"/>
              <w:jc w:val="center"/>
              <w:rPr>
                <w:rStyle w:val="137"/>
                <w:rFonts w:hint="eastAsia" w:ascii="宋体" w:hAnsi="宋体" w:eastAsia="宋体"/>
                <w:color w:val="auto"/>
                <w:sz w:val="24"/>
                <w:szCs w:val="24"/>
                <w:lang w:val="en-US" w:eastAsia="zh-CN"/>
              </w:rPr>
            </w:pPr>
            <w:r>
              <w:rPr>
                <w:rStyle w:val="137"/>
                <w:rFonts w:hint="eastAsia" w:ascii="宋体" w:hAnsi="宋体" w:eastAsia="宋体"/>
                <w:color w:val="auto"/>
                <w:sz w:val="24"/>
                <w:szCs w:val="24"/>
              </w:rPr>
              <w:t>规格</w:t>
            </w:r>
            <w:r>
              <w:rPr>
                <w:rStyle w:val="137"/>
                <w:rFonts w:hint="eastAsia" w:ascii="宋体" w:hAnsi="宋体" w:eastAsia="宋体"/>
                <w:color w:val="auto"/>
                <w:sz w:val="24"/>
                <w:szCs w:val="24"/>
                <w:lang w:val="en-US" w:eastAsia="zh-CN"/>
              </w:rPr>
              <w:t>/</w:t>
            </w:r>
          </w:p>
          <w:p>
            <w:pPr>
              <w:widowControl/>
              <w:autoSpaceDE w:val="0"/>
              <w:autoSpaceDN w:val="0"/>
              <w:adjustRightInd w:val="0"/>
              <w:spacing w:before="50" w:after="50" w:line="440" w:lineRule="exact"/>
              <w:jc w:val="center"/>
              <w:rPr>
                <w:rStyle w:val="137"/>
                <w:rFonts w:ascii="宋体" w:hAnsi="宋体" w:eastAsia="宋体"/>
                <w:color w:val="auto"/>
                <w:sz w:val="24"/>
                <w:szCs w:val="24"/>
              </w:rPr>
            </w:pPr>
            <w:r>
              <w:rPr>
                <w:rStyle w:val="137"/>
                <w:rFonts w:hint="eastAsia" w:ascii="宋体" w:hAnsi="宋体" w:eastAsia="宋体"/>
                <w:color w:val="auto"/>
                <w:sz w:val="24"/>
                <w:szCs w:val="24"/>
              </w:rPr>
              <w:t>型号</w:t>
            </w:r>
          </w:p>
        </w:tc>
        <w:tc>
          <w:tcPr>
            <w:tcW w:w="3497" w:type="dxa"/>
            <w:noWrap w:val="0"/>
            <w:tcMar>
              <w:top w:w="100" w:type="dxa"/>
              <w:right w:w="100" w:type="dxa"/>
            </w:tcMar>
            <w:vAlign w:val="center"/>
          </w:tcPr>
          <w:p>
            <w:pPr>
              <w:widowControl/>
              <w:autoSpaceDE w:val="0"/>
              <w:autoSpaceDN w:val="0"/>
              <w:adjustRightInd w:val="0"/>
              <w:spacing w:before="50" w:after="50" w:line="440" w:lineRule="exact"/>
              <w:jc w:val="center"/>
              <w:rPr>
                <w:rStyle w:val="137"/>
                <w:rFonts w:ascii="宋体" w:hAnsi="宋体" w:eastAsia="宋体"/>
                <w:color w:val="auto"/>
                <w:sz w:val="24"/>
                <w:szCs w:val="24"/>
              </w:rPr>
            </w:pPr>
            <w:r>
              <w:rPr>
                <w:rStyle w:val="137"/>
                <w:rFonts w:hint="eastAsia" w:ascii="宋体" w:hAnsi="宋体" w:eastAsia="宋体"/>
                <w:color w:val="auto"/>
                <w:sz w:val="24"/>
                <w:szCs w:val="24"/>
                <w:lang w:eastAsia="zh-CN"/>
              </w:rPr>
              <w:t>详细配置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tcMar>
              <w:top w:w="100" w:type="dxa"/>
              <w:right w:w="100" w:type="dxa"/>
            </w:tcMar>
            <w:vAlign w:val="center"/>
          </w:tcPr>
          <w:p>
            <w:pPr>
              <w:widowControl/>
              <w:autoSpaceDE w:val="0"/>
              <w:autoSpaceDN w:val="0"/>
              <w:adjustRightInd w:val="0"/>
              <w:spacing w:before="50" w:after="50" w:line="440" w:lineRule="exact"/>
              <w:jc w:val="center"/>
              <w:rPr>
                <w:rStyle w:val="137"/>
                <w:rFonts w:ascii="宋体" w:hAnsi="宋体" w:eastAsia="宋体"/>
                <w:color w:val="auto"/>
                <w:sz w:val="24"/>
                <w:szCs w:val="24"/>
              </w:rPr>
            </w:pPr>
            <w:r>
              <w:rPr>
                <w:rStyle w:val="137"/>
                <w:rFonts w:ascii="宋体" w:hAnsi="宋体" w:eastAsia="宋体"/>
                <w:color w:val="auto"/>
                <w:sz w:val="24"/>
                <w:szCs w:val="24"/>
              </w:rPr>
              <w:t>1</w:t>
            </w:r>
          </w:p>
        </w:tc>
        <w:tc>
          <w:tcPr>
            <w:tcW w:w="1440"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c>
          <w:tcPr>
            <w:tcW w:w="900" w:type="dxa"/>
            <w:noWrap w:val="0"/>
            <w:tcMar>
              <w:top w:w="100" w:type="dxa"/>
              <w:right w:w="100" w:type="dxa"/>
            </w:tcMar>
            <w:vAlign w:val="center"/>
          </w:tcPr>
          <w:p>
            <w:pPr>
              <w:widowControl/>
              <w:autoSpaceDE w:val="0"/>
              <w:autoSpaceDN w:val="0"/>
              <w:adjustRightInd w:val="0"/>
              <w:spacing w:before="50" w:after="50" w:line="440" w:lineRule="exact"/>
              <w:ind w:left="480" w:hanging="480"/>
              <w:jc w:val="center"/>
              <w:rPr>
                <w:rFonts w:hAnsi="宋体"/>
                <w:color w:val="auto"/>
                <w:kern w:val="1"/>
                <w:sz w:val="24"/>
                <w:szCs w:val="24"/>
              </w:rPr>
            </w:pPr>
          </w:p>
        </w:tc>
        <w:tc>
          <w:tcPr>
            <w:tcW w:w="1080" w:type="dxa"/>
            <w:noWrap w:val="0"/>
            <w:tcMar>
              <w:top w:w="100" w:type="dxa"/>
              <w:right w:w="100" w:type="dxa"/>
            </w:tcMar>
            <w:vAlign w:val="top"/>
          </w:tcPr>
          <w:p>
            <w:pPr>
              <w:widowControl/>
              <w:autoSpaceDE w:val="0"/>
              <w:autoSpaceDN w:val="0"/>
              <w:adjustRightInd w:val="0"/>
              <w:spacing w:before="50" w:after="50" w:line="440" w:lineRule="exact"/>
              <w:jc w:val="center"/>
              <w:rPr>
                <w:rFonts w:hAnsi="宋体"/>
                <w:color w:val="auto"/>
                <w:kern w:val="1"/>
                <w:sz w:val="24"/>
                <w:szCs w:val="24"/>
              </w:rPr>
            </w:pPr>
          </w:p>
        </w:tc>
        <w:tc>
          <w:tcPr>
            <w:tcW w:w="1260"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c>
          <w:tcPr>
            <w:tcW w:w="3497"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tcMar>
              <w:top w:w="100" w:type="dxa"/>
              <w:right w:w="100" w:type="dxa"/>
            </w:tcMar>
            <w:vAlign w:val="center"/>
          </w:tcPr>
          <w:p>
            <w:pPr>
              <w:widowControl/>
              <w:autoSpaceDE w:val="0"/>
              <w:autoSpaceDN w:val="0"/>
              <w:adjustRightInd w:val="0"/>
              <w:spacing w:before="50" w:after="50" w:line="440" w:lineRule="exact"/>
              <w:jc w:val="center"/>
              <w:rPr>
                <w:rStyle w:val="137"/>
                <w:rFonts w:ascii="宋体" w:hAnsi="宋体" w:eastAsia="宋体"/>
                <w:color w:val="auto"/>
                <w:sz w:val="24"/>
                <w:szCs w:val="24"/>
              </w:rPr>
            </w:pPr>
            <w:r>
              <w:rPr>
                <w:rStyle w:val="137"/>
                <w:rFonts w:ascii="宋体" w:hAnsi="宋体" w:eastAsia="宋体"/>
                <w:color w:val="auto"/>
                <w:sz w:val="24"/>
                <w:szCs w:val="24"/>
              </w:rPr>
              <w:t>2</w:t>
            </w:r>
          </w:p>
        </w:tc>
        <w:tc>
          <w:tcPr>
            <w:tcW w:w="1440"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c>
          <w:tcPr>
            <w:tcW w:w="900" w:type="dxa"/>
            <w:noWrap w:val="0"/>
            <w:tcMar>
              <w:top w:w="100" w:type="dxa"/>
              <w:right w:w="100" w:type="dxa"/>
            </w:tcMar>
            <w:vAlign w:val="center"/>
          </w:tcPr>
          <w:p>
            <w:pPr>
              <w:widowControl/>
              <w:autoSpaceDE w:val="0"/>
              <w:autoSpaceDN w:val="0"/>
              <w:adjustRightInd w:val="0"/>
              <w:spacing w:before="50" w:after="50" w:line="440" w:lineRule="exact"/>
              <w:ind w:left="480" w:hanging="480"/>
              <w:jc w:val="center"/>
              <w:rPr>
                <w:rFonts w:hAnsi="宋体"/>
                <w:color w:val="auto"/>
                <w:kern w:val="1"/>
                <w:sz w:val="24"/>
                <w:szCs w:val="24"/>
              </w:rPr>
            </w:pPr>
          </w:p>
        </w:tc>
        <w:tc>
          <w:tcPr>
            <w:tcW w:w="1080" w:type="dxa"/>
            <w:noWrap w:val="0"/>
            <w:tcMar>
              <w:top w:w="100" w:type="dxa"/>
              <w:right w:w="100" w:type="dxa"/>
            </w:tcMar>
            <w:vAlign w:val="top"/>
          </w:tcPr>
          <w:p>
            <w:pPr>
              <w:widowControl/>
              <w:autoSpaceDE w:val="0"/>
              <w:autoSpaceDN w:val="0"/>
              <w:adjustRightInd w:val="0"/>
              <w:spacing w:before="50" w:after="50" w:line="440" w:lineRule="exact"/>
              <w:jc w:val="center"/>
              <w:rPr>
                <w:rFonts w:hAnsi="宋体"/>
                <w:color w:val="auto"/>
                <w:kern w:val="1"/>
                <w:sz w:val="24"/>
                <w:szCs w:val="24"/>
              </w:rPr>
            </w:pPr>
          </w:p>
        </w:tc>
        <w:tc>
          <w:tcPr>
            <w:tcW w:w="1260"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c>
          <w:tcPr>
            <w:tcW w:w="3497"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tcMar>
              <w:top w:w="100" w:type="dxa"/>
              <w:right w:w="100" w:type="dxa"/>
            </w:tcMar>
            <w:vAlign w:val="center"/>
          </w:tcPr>
          <w:p>
            <w:pPr>
              <w:widowControl/>
              <w:autoSpaceDE w:val="0"/>
              <w:autoSpaceDN w:val="0"/>
              <w:adjustRightInd w:val="0"/>
              <w:spacing w:before="50" w:after="50" w:line="440" w:lineRule="exact"/>
              <w:jc w:val="center"/>
              <w:rPr>
                <w:rStyle w:val="137"/>
                <w:rFonts w:ascii="宋体" w:hAnsi="宋体" w:eastAsia="宋体"/>
                <w:color w:val="auto"/>
                <w:sz w:val="24"/>
                <w:szCs w:val="24"/>
              </w:rPr>
            </w:pPr>
            <w:r>
              <w:rPr>
                <w:rStyle w:val="137"/>
                <w:rFonts w:ascii="宋体" w:hAnsi="宋体" w:eastAsia="宋体"/>
                <w:color w:val="auto"/>
                <w:sz w:val="24"/>
                <w:szCs w:val="24"/>
              </w:rPr>
              <w:t>3</w:t>
            </w:r>
          </w:p>
        </w:tc>
        <w:tc>
          <w:tcPr>
            <w:tcW w:w="1440"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c>
          <w:tcPr>
            <w:tcW w:w="900" w:type="dxa"/>
            <w:noWrap w:val="0"/>
            <w:tcMar>
              <w:top w:w="100" w:type="dxa"/>
              <w:right w:w="100" w:type="dxa"/>
            </w:tcMar>
            <w:vAlign w:val="center"/>
          </w:tcPr>
          <w:p>
            <w:pPr>
              <w:widowControl/>
              <w:autoSpaceDE w:val="0"/>
              <w:autoSpaceDN w:val="0"/>
              <w:adjustRightInd w:val="0"/>
              <w:spacing w:before="50" w:after="50" w:line="440" w:lineRule="exact"/>
              <w:ind w:left="480" w:hanging="480"/>
              <w:jc w:val="center"/>
              <w:rPr>
                <w:rFonts w:hAnsi="宋体"/>
                <w:color w:val="auto"/>
                <w:kern w:val="1"/>
                <w:sz w:val="24"/>
                <w:szCs w:val="24"/>
              </w:rPr>
            </w:pPr>
          </w:p>
        </w:tc>
        <w:tc>
          <w:tcPr>
            <w:tcW w:w="1080" w:type="dxa"/>
            <w:noWrap w:val="0"/>
            <w:tcMar>
              <w:top w:w="100" w:type="dxa"/>
              <w:right w:w="100" w:type="dxa"/>
            </w:tcMar>
            <w:vAlign w:val="top"/>
          </w:tcPr>
          <w:p>
            <w:pPr>
              <w:widowControl/>
              <w:autoSpaceDE w:val="0"/>
              <w:autoSpaceDN w:val="0"/>
              <w:adjustRightInd w:val="0"/>
              <w:spacing w:before="50" w:after="50" w:line="440" w:lineRule="exact"/>
              <w:jc w:val="center"/>
              <w:rPr>
                <w:rFonts w:hAnsi="宋体"/>
                <w:color w:val="auto"/>
                <w:kern w:val="1"/>
                <w:sz w:val="24"/>
                <w:szCs w:val="24"/>
              </w:rPr>
            </w:pPr>
          </w:p>
        </w:tc>
        <w:tc>
          <w:tcPr>
            <w:tcW w:w="1260"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c>
          <w:tcPr>
            <w:tcW w:w="3497"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tcMar>
              <w:top w:w="100" w:type="dxa"/>
              <w:right w:w="100" w:type="dxa"/>
            </w:tcMar>
            <w:vAlign w:val="center"/>
          </w:tcPr>
          <w:p>
            <w:pPr>
              <w:widowControl/>
              <w:autoSpaceDE w:val="0"/>
              <w:autoSpaceDN w:val="0"/>
              <w:adjustRightInd w:val="0"/>
              <w:spacing w:before="50" w:after="50" w:line="440" w:lineRule="exact"/>
              <w:jc w:val="center"/>
              <w:rPr>
                <w:rStyle w:val="137"/>
                <w:rFonts w:ascii="宋体" w:hAnsi="宋体" w:eastAsia="宋体"/>
                <w:color w:val="auto"/>
                <w:sz w:val="24"/>
                <w:szCs w:val="24"/>
              </w:rPr>
            </w:pPr>
            <w:r>
              <w:rPr>
                <w:rStyle w:val="137"/>
                <w:rFonts w:ascii="宋体" w:hAnsi="宋体" w:eastAsia="宋体"/>
                <w:color w:val="auto"/>
                <w:sz w:val="24"/>
                <w:szCs w:val="24"/>
              </w:rPr>
              <w:t>4</w:t>
            </w:r>
          </w:p>
        </w:tc>
        <w:tc>
          <w:tcPr>
            <w:tcW w:w="1440"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c>
          <w:tcPr>
            <w:tcW w:w="900" w:type="dxa"/>
            <w:noWrap w:val="0"/>
            <w:tcMar>
              <w:top w:w="100" w:type="dxa"/>
              <w:right w:w="100" w:type="dxa"/>
            </w:tcMar>
            <w:vAlign w:val="center"/>
          </w:tcPr>
          <w:p>
            <w:pPr>
              <w:widowControl/>
              <w:autoSpaceDE w:val="0"/>
              <w:autoSpaceDN w:val="0"/>
              <w:adjustRightInd w:val="0"/>
              <w:spacing w:before="50" w:after="50" w:line="440" w:lineRule="exact"/>
              <w:ind w:left="480" w:hanging="480"/>
              <w:jc w:val="center"/>
              <w:rPr>
                <w:rFonts w:hAnsi="宋体"/>
                <w:color w:val="auto"/>
                <w:kern w:val="1"/>
                <w:sz w:val="24"/>
                <w:szCs w:val="24"/>
              </w:rPr>
            </w:pPr>
          </w:p>
        </w:tc>
        <w:tc>
          <w:tcPr>
            <w:tcW w:w="1080" w:type="dxa"/>
            <w:noWrap w:val="0"/>
            <w:tcMar>
              <w:top w:w="100" w:type="dxa"/>
              <w:right w:w="100" w:type="dxa"/>
            </w:tcMar>
            <w:vAlign w:val="top"/>
          </w:tcPr>
          <w:p>
            <w:pPr>
              <w:widowControl/>
              <w:autoSpaceDE w:val="0"/>
              <w:autoSpaceDN w:val="0"/>
              <w:adjustRightInd w:val="0"/>
              <w:spacing w:before="50" w:after="50" w:line="440" w:lineRule="exact"/>
              <w:jc w:val="center"/>
              <w:rPr>
                <w:rFonts w:hAnsi="宋体"/>
                <w:color w:val="auto"/>
                <w:kern w:val="1"/>
                <w:sz w:val="24"/>
                <w:szCs w:val="24"/>
              </w:rPr>
            </w:pPr>
          </w:p>
        </w:tc>
        <w:tc>
          <w:tcPr>
            <w:tcW w:w="1260"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c>
          <w:tcPr>
            <w:tcW w:w="3497"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tcMar>
              <w:top w:w="100" w:type="dxa"/>
              <w:right w:w="100" w:type="dxa"/>
            </w:tcMar>
            <w:vAlign w:val="center"/>
          </w:tcPr>
          <w:p>
            <w:pPr>
              <w:widowControl/>
              <w:autoSpaceDE w:val="0"/>
              <w:autoSpaceDN w:val="0"/>
              <w:adjustRightInd w:val="0"/>
              <w:spacing w:before="50" w:after="50" w:line="440" w:lineRule="exact"/>
              <w:jc w:val="center"/>
              <w:rPr>
                <w:rStyle w:val="137"/>
                <w:rFonts w:ascii="宋体" w:hAnsi="宋体" w:eastAsia="宋体"/>
                <w:color w:val="auto"/>
                <w:sz w:val="24"/>
                <w:szCs w:val="24"/>
              </w:rPr>
            </w:pPr>
            <w:r>
              <w:rPr>
                <w:rStyle w:val="137"/>
                <w:rFonts w:ascii="宋体" w:hAnsi="宋体" w:eastAsia="宋体"/>
                <w:color w:val="auto"/>
                <w:sz w:val="24"/>
                <w:szCs w:val="24"/>
              </w:rPr>
              <w:t>5</w:t>
            </w:r>
          </w:p>
        </w:tc>
        <w:tc>
          <w:tcPr>
            <w:tcW w:w="1440"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c>
          <w:tcPr>
            <w:tcW w:w="900" w:type="dxa"/>
            <w:noWrap w:val="0"/>
            <w:tcMar>
              <w:top w:w="100" w:type="dxa"/>
              <w:right w:w="100" w:type="dxa"/>
            </w:tcMar>
            <w:vAlign w:val="center"/>
          </w:tcPr>
          <w:p>
            <w:pPr>
              <w:widowControl/>
              <w:autoSpaceDE w:val="0"/>
              <w:autoSpaceDN w:val="0"/>
              <w:adjustRightInd w:val="0"/>
              <w:spacing w:before="50" w:after="50" w:line="440" w:lineRule="exact"/>
              <w:ind w:left="480" w:hanging="480"/>
              <w:jc w:val="center"/>
              <w:rPr>
                <w:rFonts w:hAnsi="宋体"/>
                <w:color w:val="auto"/>
                <w:kern w:val="1"/>
                <w:sz w:val="24"/>
                <w:szCs w:val="24"/>
              </w:rPr>
            </w:pPr>
          </w:p>
        </w:tc>
        <w:tc>
          <w:tcPr>
            <w:tcW w:w="1080" w:type="dxa"/>
            <w:noWrap w:val="0"/>
            <w:tcMar>
              <w:top w:w="100" w:type="dxa"/>
              <w:right w:w="100" w:type="dxa"/>
            </w:tcMar>
            <w:vAlign w:val="top"/>
          </w:tcPr>
          <w:p>
            <w:pPr>
              <w:widowControl/>
              <w:autoSpaceDE w:val="0"/>
              <w:autoSpaceDN w:val="0"/>
              <w:adjustRightInd w:val="0"/>
              <w:spacing w:before="50" w:after="50" w:line="440" w:lineRule="exact"/>
              <w:jc w:val="center"/>
              <w:rPr>
                <w:rFonts w:hAnsi="宋体"/>
                <w:color w:val="auto"/>
                <w:kern w:val="1"/>
                <w:sz w:val="24"/>
                <w:szCs w:val="24"/>
              </w:rPr>
            </w:pPr>
          </w:p>
        </w:tc>
        <w:tc>
          <w:tcPr>
            <w:tcW w:w="1260"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c>
          <w:tcPr>
            <w:tcW w:w="3497"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tcMar>
              <w:top w:w="100" w:type="dxa"/>
              <w:right w:w="100" w:type="dxa"/>
            </w:tcMar>
            <w:vAlign w:val="center"/>
          </w:tcPr>
          <w:p>
            <w:pPr>
              <w:widowControl/>
              <w:autoSpaceDE w:val="0"/>
              <w:autoSpaceDN w:val="0"/>
              <w:adjustRightInd w:val="0"/>
              <w:spacing w:before="50" w:after="50" w:line="440" w:lineRule="exact"/>
              <w:jc w:val="center"/>
              <w:rPr>
                <w:rFonts w:hint="default" w:hAnsi="宋体" w:eastAsia="宋体" w:cs="仿宋"/>
                <w:color w:val="auto"/>
                <w:kern w:val="1"/>
                <w:sz w:val="24"/>
                <w:szCs w:val="24"/>
                <w:lang w:val="en-US" w:eastAsia="zh-CN"/>
              </w:rPr>
            </w:pPr>
            <w:r>
              <w:rPr>
                <w:rFonts w:hint="eastAsia" w:hAnsi="宋体" w:cs="仿宋"/>
                <w:color w:val="auto"/>
                <w:kern w:val="1"/>
                <w:sz w:val="24"/>
                <w:szCs w:val="24"/>
                <w:lang w:val="en-US" w:eastAsia="zh-CN"/>
              </w:rPr>
              <w:t>...</w:t>
            </w:r>
          </w:p>
        </w:tc>
        <w:tc>
          <w:tcPr>
            <w:tcW w:w="1440" w:type="dxa"/>
            <w:noWrap w:val="0"/>
            <w:tcMar>
              <w:top w:w="100" w:type="dxa"/>
              <w:right w:w="100" w:type="dxa"/>
            </w:tcMar>
            <w:vAlign w:val="center"/>
          </w:tcPr>
          <w:p>
            <w:pPr>
              <w:widowControl/>
              <w:autoSpaceDE w:val="0"/>
              <w:autoSpaceDN w:val="0"/>
              <w:adjustRightInd w:val="0"/>
              <w:spacing w:before="50" w:after="50" w:line="440" w:lineRule="exact"/>
              <w:jc w:val="center"/>
              <w:rPr>
                <w:rFonts w:hint="default" w:hAnsi="宋体" w:eastAsia="宋体"/>
                <w:color w:val="auto"/>
                <w:kern w:val="1"/>
                <w:sz w:val="24"/>
                <w:szCs w:val="24"/>
                <w:lang w:val="en-US" w:eastAsia="zh-CN"/>
              </w:rPr>
            </w:pPr>
            <w:r>
              <w:rPr>
                <w:rFonts w:hint="eastAsia" w:hAnsi="宋体"/>
                <w:color w:val="auto"/>
                <w:kern w:val="1"/>
                <w:sz w:val="24"/>
                <w:szCs w:val="24"/>
                <w:lang w:val="en-US" w:eastAsia="zh-CN"/>
              </w:rPr>
              <w:t>...</w:t>
            </w:r>
          </w:p>
        </w:tc>
        <w:tc>
          <w:tcPr>
            <w:tcW w:w="900" w:type="dxa"/>
            <w:noWrap w:val="0"/>
            <w:tcMar>
              <w:top w:w="100" w:type="dxa"/>
              <w:right w:w="100" w:type="dxa"/>
            </w:tcMar>
            <w:vAlign w:val="center"/>
          </w:tcPr>
          <w:p>
            <w:pPr>
              <w:widowControl/>
              <w:autoSpaceDE w:val="0"/>
              <w:autoSpaceDN w:val="0"/>
              <w:adjustRightInd w:val="0"/>
              <w:spacing w:before="50" w:after="50" w:line="440" w:lineRule="exact"/>
              <w:ind w:left="480" w:hanging="480"/>
              <w:jc w:val="center"/>
              <w:rPr>
                <w:rFonts w:hAnsi="宋体"/>
                <w:color w:val="auto"/>
                <w:kern w:val="1"/>
                <w:sz w:val="24"/>
                <w:szCs w:val="24"/>
              </w:rPr>
            </w:pPr>
          </w:p>
        </w:tc>
        <w:tc>
          <w:tcPr>
            <w:tcW w:w="1080" w:type="dxa"/>
            <w:noWrap w:val="0"/>
            <w:tcMar>
              <w:top w:w="100" w:type="dxa"/>
              <w:right w:w="100" w:type="dxa"/>
            </w:tcMar>
            <w:vAlign w:val="top"/>
          </w:tcPr>
          <w:p>
            <w:pPr>
              <w:widowControl/>
              <w:autoSpaceDE w:val="0"/>
              <w:autoSpaceDN w:val="0"/>
              <w:adjustRightInd w:val="0"/>
              <w:spacing w:before="50" w:after="50" w:line="440" w:lineRule="exact"/>
              <w:jc w:val="center"/>
              <w:rPr>
                <w:rFonts w:hAnsi="宋体"/>
                <w:color w:val="auto"/>
                <w:kern w:val="1"/>
                <w:sz w:val="24"/>
                <w:szCs w:val="24"/>
              </w:rPr>
            </w:pPr>
          </w:p>
        </w:tc>
        <w:tc>
          <w:tcPr>
            <w:tcW w:w="1260"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c>
          <w:tcPr>
            <w:tcW w:w="3497" w:type="dxa"/>
            <w:noWrap w:val="0"/>
            <w:tcMar>
              <w:top w:w="100" w:type="dxa"/>
              <w:right w:w="100" w:type="dxa"/>
            </w:tcMar>
            <w:vAlign w:val="center"/>
          </w:tcPr>
          <w:p>
            <w:pPr>
              <w:widowControl/>
              <w:autoSpaceDE w:val="0"/>
              <w:autoSpaceDN w:val="0"/>
              <w:adjustRightInd w:val="0"/>
              <w:spacing w:before="50" w:after="50" w:line="440" w:lineRule="exact"/>
              <w:jc w:val="center"/>
              <w:rPr>
                <w:rFonts w:hAnsi="宋体"/>
                <w:color w:val="auto"/>
                <w:kern w:val="1"/>
                <w:sz w:val="24"/>
                <w:szCs w:val="24"/>
              </w:rPr>
            </w:pPr>
          </w:p>
        </w:tc>
      </w:tr>
    </w:tbl>
    <w:p>
      <w:pPr>
        <w:widowControl/>
        <w:autoSpaceDE w:val="0"/>
        <w:autoSpaceDN w:val="0"/>
        <w:adjustRightInd w:val="0"/>
        <w:spacing w:before="120" w:line="440" w:lineRule="exact"/>
        <w:ind w:right="-481" w:firstLine="480"/>
        <w:rPr>
          <w:rFonts w:hint="eastAsia" w:hAnsi="宋体"/>
          <w:color w:val="auto"/>
          <w:kern w:val="1"/>
          <w:sz w:val="24"/>
        </w:rPr>
      </w:pPr>
    </w:p>
    <w:p>
      <w:pPr>
        <w:spacing w:line="480" w:lineRule="auto"/>
        <w:ind w:firstLine="480"/>
        <w:rPr>
          <w:rFonts w:hint="eastAsia" w:hAnsi="宋体"/>
          <w:color w:val="auto"/>
          <w:sz w:val="24"/>
        </w:rPr>
      </w:pPr>
      <w:r>
        <w:rPr>
          <w:rFonts w:hint="eastAsia" w:hAnsi="宋体"/>
          <w:color w:val="auto"/>
          <w:sz w:val="24"/>
          <w:lang w:eastAsia="zh-CN"/>
        </w:rPr>
        <w:t>供应商</w:t>
      </w:r>
      <w:r>
        <w:rPr>
          <w:rFonts w:hint="eastAsia" w:hAnsi="宋体"/>
          <w:color w:val="auto"/>
          <w:sz w:val="24"/>
        </w:rPr>
        <w:t>名称（盖公章）：</w:t>
      </w:r>
    </w:p>
    <w:p>
      <w:pPr>
        <w:spacing w:line="480" w:lineRule="auto"/>
        <w:ind w:firstLine="480"/>
        <w:rPr>
          <w:rFonts w:hint="eastAsia" w:hAnsi="宋体"/>
          <w:color w:val="auto"/>
          <w:sz w:val="24"/>
        </w:rPr>
      </w:pPr>
      <w:r>
        <w:rPr>
          <w:rFonts w:hint="eastAsia" w:ascii="宋体" w:hAnsi="宋体" w:cs="宋体"/>
          <w:color w:val="auto"/>
          <w:sz w:val="24"/>
          <w:szCs w:val="20"/>
          <w:lang w:val="zh-CN"/>
        </w:rPr>
        <w:t>法定代表人或其委托代理人（签字或盖章）：</w:t>
      </w:r>
    </w:p>
    <w:p>
      <w:pPr>
        <w:spacing w:line="480" w:lineRule="auto"/>
        <w:ind w:firstLine="480"/>
        <w:rPr>
          <w:rFonts w:hint="eastAsia" w:hAnsi="宋体"/>
          <w:color w:val="auto"/>
          <w:sz w:val="24"/>
        </w:rPr>
      </w:pPr>
      <w:r>
        <w:rPr>
          <w:rFonts w:hint="eastAsia" w:hAnsi="宋体"/>
          <w:color w:val="auto"/>
          <w:sz w:val="24"/>
        </w:rPr>
        <w:t>时间：      年      月     日</w:t>
      </w:r>
    </w:p>
    <w:p>
      <w:pP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br w:type="page"/>
      </w:r>
    </w:p>
    <w:p>
      <w:pPr>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rPr>
        <w:t>附件：技术偏离表</w:t>
      </w:r>
    </w:p>
    <w:p>
      <w:pPr>
        <w:pStyle w:val="10"/>
        <w:spacing w:before="0" w:after="0" w:line="360" w:lineRule="auto"/>
        <w:jc w:val="center"/>
        <w:rPr>
          <w:rFonts w:asciiTheme="minorEastAsia" w:hAnsiTheme="minorEastAsia" w:eastAsiaTheme="minorEastAsia" w:cstheme="minorEastAsia"/>
          <w:color w:val="auto"/>
          <w:highlight w:val="none"/>
        </w:rPr>
      </w:pPr>
    </w:p>
    <w:p>
      <w:pPr>
        <w:pStyle w:val="13"/>
        <w:spacing w:line="360" w:lineRule="auto"/>
        <w:jc w:val="center"/>
        <w:rPr>
          <w:rFonts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技术偏离表</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w:t>
      </w:r>
    </w:p>
    <w:p>
      <w:pPr>
        <w:rPr>
          <w:rFonts w:hint="eastAsia"/>
          <w:lang w:val="en-US" w:eastAsia="zh-CN"/>
        </w:rPr>
      </w:pPr>
      <w:r>
        <w:rPr>
          <w:rFonts w:hint="eastAsia" w:asciiTheme="minorEastAsia" w:hAnsiTheme="minorEastAsia" w:eastAsiaTheme="minorEastAsia" w:cstheme="minorEastAsia"/>
          <w:color w:val="auto"/>
          <w:sz w:val="24"/>
          <w:szCs w:val="24"/>
          <w:highlight w:val="none"/>
          <w:lang w:eastAsia="zh-CN"/>
        </w:rPr>
        <w:t>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w:t>
      </w:r>
    </w:p>
    <w:tbl>
      <w:tblPr>
        <w:tblStyle w:val="32"/>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914"/>
        <w:gridCol w:w="1727"/>
        <w:gridCol w:w="1346"/>
        <w:gridCol w:w="1586"/>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409"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包内编号</w:t>
            </w:r>
          </w:p>
        </w:tc>
        <w:tc>
          <w:tcPr>
            <w:tcW w:w="191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w:t>
            </w:r>
          </w:p>
        </w:tc>
        <w:tc>
          <w:tcPr>
            <w:tcW w:w="172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竞争性磋商文件要求</w:t>
            </w:r>
          </w:p>
        </w:tc>
        <w:tc>
          <w:tcPr>
            <w:tcW w:w="134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w:t>
            </w: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实际情况</w:t>
            </w:r>
          </w:p>
        </w:tc>
        <w:tc>
          <w:tcPr>
            <w:tcW w:w="158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偏差内容</w:t>
            </w:r>
          </w:p>
        </w:tc>
        <w:tc>
          <w:tcPr>
            <w:tcW w:w="107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409"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91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72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34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58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07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409"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91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72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34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58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07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09"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91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72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34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58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07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09"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91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72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34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58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07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09"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91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72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34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58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07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09"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91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72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34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58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07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09"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91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72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34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58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07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09"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91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72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34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58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07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09"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91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72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34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58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c>
          <w:tcPr>
            <w:tcW w:w="107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Theme="minorEastAsia" w:hAnsiTheme="minorEastAsia" w:eastAsiaTheme="minorEastAsia" w:cstheme="minorEastAsia"/>
                <w:color w:val="auto"/>
                <w:sz w:val="24"/>
                <w:szCs w:val="24"/>
                <w:highlight w:val="none"/>
              </w:rPr>
            </w:pPr>
          </w:p>
        </w:tc>
      </w:tr>
    </w:tbl>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注：1、技术规格应详细写明所投产品详细参数。</w:t>
      </w:r>
    </w:p>
    <w:p>
      <w:pPr>
        <w:numPr>
          <w:ilvl w:val="0"/>
          <w:numId w:val="7"/>
        </w:num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按照规定逐项列明，无偏离的写明“无”。</w:t>
      </w:r>
    </w:p>
    <w:p>
      <w:pPr>
        <w:spacing w:line="480" w:lineRule="auto"/>
        <w:ind w:leftChars="1300" w:firstLine="480"/>
        <w:rPr>
          <w:rFonts w:hint="eastAsia" w:hAnsi="宋体"/>
          <w:color w:val="auto"/>
          <w:sz w:val="24"/>
        </w:rPr>
      </w:pPr>
      <w:r>
        <w:rPr>
          <w:rFonts w:hint="eastAsia" w:hAnsi="宋体"/>
          <w:color w:val="auto"/>
          <w:sz w:val="24"/>
          <w:lang w:eastAsia="zh-CN"/>
        </w:rPr>
        <w:t>供应商</w:t>
      </w:r>
      <w:r>
        <w:rPr>
          <w:rFonts w:hint="eastAsia" w:hAnsi="宋体"/>
          <w:color w:val="auto"/>
          <w:sz w:val="24"/>
        </w:rPr>
        <w:t>名称（盖公章）：</w:t>
      </w:r>
    </w:p>
    <w:p>
      <w:pPr>
        <w:spacing w:line="480" w:lineRule="auto"/>
        <w:ind w:leftChars="1300" w:firstLine="480"/>
        <w:rPr>
          <w:rFonts w:hint="eastAsia" w:hAnsi="宋体"/>
          <w:color w:val="auto"/>
          <w:sz w:val="24"/>
        </w:rPr>
      </w:pPr>
      <w:r>
        <w:rPr>
          <w:rFonts w:hint="eastAsia" w:ascii="宋体" w:hAnsi="宋体" w:cs="宋体"/>
          <w:color w:val="auto"/>
          <w:sz w:val="24"/>
          <w:szCs w:val="20"/>
          <w:lang w:val="zh-CN"/>
        </w:rPr>
        <w:t>法定代表人或其委托代理人（签字或盖章）：</w:t>
      </w:r>
    </w:p>
    <w:p>
      <w:pPr>
        <w:spacing w:line="480" w:lineRule="auto"/>
        <w:ind w:leftChars="1300" w:firstLine="480"/>
        <w:rPr>
          <w:rFonts w:hint="eastAsia" w:hAnsi="宋体"/>
          <w:color w:val="auto"/>
          <w:sz w:val="24"/>
        </w:rPr>
      </w:pPr>
      <w:r>
        <w:rPr>
          <w:rFonts w:hint="eastAsia" w:hAnsi="宋体"/>
          <w:color w:val="auto"/>
          <w:sz w:val="24"/>
        </w:rPr>
        <w:t>时间：      年      月     日</w:t>
      </w: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right"/>
        <w:rPr>
          <w:rFonts w:asciiTheme="minorEastAsia" w:hAnsiTheme="minorEastAsia" w:eastAsiaTheme="minorEastAsia" w:cstheme="minorEastAsia"/>
          <w:color w:val="auto"/>
          <w:sz w:val="24"/>
          <w:szCs w:val="24"/>
          <w:highlight w:val="none"/>
        </w:rPr>
      </w:pPr>
    </w:p>
    <w:p>
      <w:pPr>
        <w:pStyle w:val="11"/>
        <w:spacing w:before="0" w:line="360" w:lineRule="auto"/>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附件：</w:t>
      </w:r>
      <w:r>
        <w:rPr>
          <w:rFonts w:hint="eastAsia" w:asciiTheme="minorEastAsia" w:hAnsiTheme="minorEastAsia" w:eastAsiaTheme="minorEastAsia" w:cstheme="minorEastAsia"/>
          <w:b/>
          <w:bCs/>
          <w:color w:val="auto"/>
          <w:sz w:val="30"/>
          <w:szCs w:val="30"/>
          <w:highlight w:val="none"/>
          <w:lang w:eastAsia="zh-CN"/>
        </w:rPr>
        <w:t>拟派</w:t>
      </w:r>
      <w:r>
        <w:rPr>
          <w:rFonts w:hint="eastAsia" w:asciiTheme="minorEastAsia" w:hAnsiTheme="minorEastAsia" w:eastAsiaTheme="minorEastAsia" w:cstheme="minorEastAsia"/>
          <w:b/>
          <w:bCs/>
          <w:color w:val="auto"/>
          <w:sz w:val="30"/>
          <w:szCs w:val="30"/>
          <w:highlight w:val="none"/>
        </w:rPr>
        <w:t>项目</w:t>
      </w:r>
      <w:r>
        <w:rPr>
          <w:rFonts w:hint="eastAsia" w:asciiTheme="minorEastAsia" w:hAnsiTheme="minorEastAsia" w:eastAsiaTheme="minorEastAsia" w:cstheme="minorEastAsia"/>
          <w:b/>
          <w:bCs/>
          <w:color w:val="auto"/>
          <w:sz w:val="30"/>
          <w:szCs w:val="30"/>
          <w:highlight w:val="none"/>
          <w:lang w:eastAsia="zh-CN"/>
        </w:rPr>
        <w:t>团队</w:t>
      </w:r>
      <w:r>
        <w:rPr>
          <w:rFonts w:hint="eastAsia" w:asciiTheme="minorEastAsia" w:hAnsiTheme="minorEastAsia" w:eastAsiaTheme="minorEastAsia" w:cstheme="minorEastAsia"/>
          <w:b/>
          <w:bCs/>
          <w:color w:val="auto"/>
          <w:sz w:val="30"/>
          <w:szCs w:val="30"/>
          <w:highlight w:val="none"/>
        </w:rPr>
        <w:t>人员配备表</w:t>
      </w:r>
    </w:p>
    <w:p>
      <w:pPr>
        <w:pStyle w:val="17"/>
        <w:spacing w:line="360" w:lineRule="auto"/>
        <w:jc w:val="center"/>
        <w:rPr>
          <w:rFonts w:hint="eastAsia" w:hAnsi="宋体" w:cs="宋体"/>
          <w:b/>
          <w:sz w:val="30"/>
          <w:szCs w:val="30"/>
        </w:rPr>
      </w:pPr>
      <w:r>
        <w:rPr>
          <w:rFonts w:hint="eastAsia" w:hAnsi="宋体" w:cs="宋体"/>
          <w:b/>
          <w:sz w:val="30"/>
          <w:szCs w:val="30"/>
          <w:lang w:eastAsia="zh-CN"/>
        </w:rPr>
        <w:t>拟派</w:t>
      </w:r>
      <w:r>
        <w:rPr>
          <w:rFonts w:hint="eastAsia" w:hAnsi="宋体" w:cs="宋体"/>
          <w:b/>
          <w:sz w:val="30"/>
          <w:szCs w:val="30"/>
        </w:rPr>
        <w:t>项目</w:t>
      </w:r>
      <w:r>
        <w:rPr>
          <w:rFonts w:hint="eastAsia" w:hAnsi="宋体" w:cs="宋体"/>
          <w:b/>
          <w:sz w:val="30"/>
          <w:szCs w:val="30"/>
          <w:lang w:eastAsia="zh-CN"/>
        </w:rPr>
        <w:t>团队</w:t>
      </w:r>
      <w:r>
        <w:rPr>
          <w:rFonts w:hint="eastAsia" w:hAnsi="宋体" w:cs="宋体"/>
          <w:b/>
          <w:sz w:val="30"/>
          <w:szCs w:val="30"/>
        </w:rPr>
        <w:t>人员配备表</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458"/>
        <w:gridCol w:w="1135"/>
        <w:gridCol w:w="690"/>
        <w:gridCol w:w="557"/>
        <w:gridCol w:w="1298"/>
        <w:gridCol w:w="811"/>
        <w:gridCol w:w="99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3" w:type="dxa"/>
            <w:vMerge w:val="restart"/>
            <w:noWrap w:val="0"/>
            <w:vAlign w:val="center"/>
          </w:tcPr>
          <w:p>
            <w:pPr>
              <w:spacing w:line="440" w:lineRule="exact"/>
              <w:jc w:val="center"/>
              <w:rPr>
                <w:rFonts w:hint="eastAsia" w:ascii="宋体" w:hAnsi="宋体" w:cs="宋体"/>
              </w:rPr>
            </w:pPr>
            <w:r>
              <w:rPr>
                <w:rFonts w:hint="eastAsia" w:ascii="宋体" w:hAnsi="宋体" w:cs="宋体"/>
              </w:rPr>
              <w:t>序号</w:t>
            </w:r>
          </w:p>
        </w:tc>
        <w:tc>
          <w:tcPr>
            <w:tcW w:w="1458" w:type="dxa"/>
            <w:vMerge w:val="restart"/>
            <w:noWrap w:val="0"/>
            <w:vAlign w:val="center"/>
          </w:tcPr>
          <w:p>
            <w:pPr>
              <w:spacing w:line="440" w:lineRule="exact"/>
              <w:jc w:val="center"/>
              <w:rPr>
                <w:rFonts w:hint="eastAsia" w:ascii="宋体" w:hAnsi="宋体" w:cs="宋体"/>
              </w:rPr>
            </w:pPr>
            <w:r>
              <w:rPr>
                <w:rFonts w:hint="eastAsia" w:ascii="宋体" w:hAnsi="宋体" w:cs="宋体"/>
              </w:rPr>
              <w:t>本项目任职</w:t>
            </w:r>
          </w:p>
        </w:tc>
        <w:tc>
          <w:tcPr>
            <w:tcW w:w="1135" w:type="dxa"/>
            <w:vMerge w:val="restart"/>
            <w:noWrap w:val="0"/>
            <w:vAlign w:val="center"/>
          </w:tcPr>
          <w:p>
            <w:pPr>
              <w:spacing w:line="440" w:lineRule="exact"/>
              <w:jc w:val="center"/>
              <w:rPr>
                <w:rFonts w:hint="eastAsia" w:ascii="宋体" w:hAnsi="宋体" w:cs="宋体"/>
              </w:rPr>
            </w:pPr>
            <w:r>
              <w:rPr>
                <w:rFonts w:hint="eastAsia" w:ascii="宋体" w:hAnsi="宋体" w:cs="宋体"/>
              </w:rPr>
              <w:t>姓名</w:t>
            </w:r>
          </w:p>
        </w:tc>
        <w:tc>
          <w:tcPr>
            <w:tcW w:w="690" w:type="dxa"/>
            <w:vMerge w:val="restart"/>
            <w:noWrap w:val="0"/>
            <w:vAlign w:val="center"/>
          </w:tcPr>
          <w:p>
            <w:pPr>
              <w:spacing w:line="440" w:lineRule="exact"/>
              <w:jc w:val="center"/>
              <w:rPr>
                <w:rFonts w:hint="eastAsia" w:ascii="宋体" w:hAnsi="宋体" w:cs="宋体"/>
              </w:rPr>
            </w:pPr>
            <w:r>
              <w:rPr>
                <w:rFonts w:hint="eastAsia" w:ascii="宋体" w:hAnsi="宋体" w:cs="宋体"/>
              </w:rPr>
              <w:t>职称</w:t>
            </w:r>
          </w:p>
        </w:tc>
        <w:tc>
          <w:tcPr>
            <w:tcW w:w="557" w:type="dxa"/>
            <w:vMerge w:val="restart"/>
            <w:noWrap w:val="0"/>
            <w:vAlign w:val="center"/>
          </w:tcPr>
          <w:p>
            <w:pPr>
              <w:spacing w:line="440" w:lineRule="exact"/>
              <w:jc w:val="center"/>
              <w:rPr>
                <w:rFonts w:hint="eastAsia" w:ascii="宋体" w:hAnsi="宋体" w:cs="宋体"/>
              </w:rPr>
            </w:pPr>
            <w:r>
              <w:rPr>
                <w:rFonts w:hint="eastAsia" w:ascii="宋体" w:hAnsi="宋体" w:cs="宋体"/>
              </w:rPr>
              <w:t>专业</w:t>
            </w:r>
          </w:p>
        </w:tc>
        <w:tc>
          <w:tcPr>
            <w:tcW w:w="3106" w:type="dxa"/>
            <w:gridSpan w:val="3"/>
            <w:noWrap w:val="0"/>
            <w:vAlign w:val="center"/>
          </w:tcPr>
          <w:p>
            <w:pPr>
              <w:spacing w:line="440" w:lineRule="exact"/>
              <w:jc w:val="center"/>
              <w:rPr>
                <w:rFonts w:hint="eastAsia" w:ascii="宋体" w:hAnsi="宋体" w:cs="宋体"/>
              </w:rPr>
            </w:pPr>
            <w:r>
              <w:rPr>
                <w:rFonts w:hint="eastAsia" w:ascii="宋体" w:hAnsi="宋体" w:cs="宋体"/>
              </w:rPr>
              <w:t>执业或职业资格证明</w:t>
            </w:r>
          </w:p>
        </w:tc>
        <w:tc>
          <w:tcPr>
            <w:tcW w:w="1298" w:type="dxa"/>
            <w:noWrap w:val="0"/>
            <w:vAlign w:val="center"/>
          </w:tcPr>
          <w:p>
            <w:pPr>
              <w:spacing w:line="440" w:lineRule="exact"/>
              <w:jc w:val="center"/>
              <w:rPr>
                <w:rFonts w:hint="eastAsia"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3" w:type="dxa"/>
            <w:vMerge w:val="continue"/>
            <w:noWrap w:val="0"/>
            <w:vAlign w:val="center"/>
          </w:tcPr>
          <w:p>
            <w:pPr>
              <w:rPr>
                <w:rFonts w:hint="eastAsia" w:ascii="宋体" w:hAnsi="宋体" w:cs="宋体"/>
              </w:rPr>
            </w:pPr>
          </w:p>
        </w:tc>
        <w:tc>
          <w:tcPr>
            <w:tcW w:w="1458" w:type="dxa"/>
            <w:vMerge w:val="continue"/>
            <w:noWrap w:val="0"/>
            <w:vAlign w:val="top"/>
          </w:tcPr>
          <w:p>
            <w:pPr>
              <w:rPr>
                <w:rFonts w:hint="eastAsia" w:ascii="宋体" w:hAnsi="宋体" w:cs="宋体"/>
              </w:rPr>
            </w:pPr>
          </w:p>
        </w:tc>
        <w:tc>
          <w:tcPr>
            <w:tcW w:w="1135" w:type="dxa"/>
            <w:vMerge w:val="continue"/>
            <w:noWrap w:val="0"/>
            <w:vAlign w:val="center"/>
          </w:tcPr>
          <w:p>
            <w:pPr>
              <w:rPr>
                <w:rFonts w:hint="eastAsia" w:ascii="宋体" w:hAnsi="宋体" w:cs="宋体"/>
              </w:rPr>
            </w:pPr>
          </w:p>
        </w:tc>
        <w:tc>
          <w:tcPr>
            <w:tcW w:w="690" w:type="dxa"/>
            <w:vMerge w:val="continue"/>
            <w:noWrap w:val="0"/>
            <w:vAlign w:val="center"/>
          </w:tcPr>
          <w:p>
            <w:pPr>
              <w:rPr>
                <w:rFonts w:hint="eastAsia" w:ascii="宋体" w:hAnsi="宋体" w:cs="宋体"/>
              </w:rPr>
            </w:pPr>
          </w:p>
        </w:tc>
        <w:tc>
          <w:tcPr>
            <w:tcW w:w="557" w:type="dxa"/>
            <w:vMerge w:val="continue"/>
            <w:noWrap w:val="0"/>
            <w:vAlign w:val="center"/>
          </w:tcPr>
          <w:p>
            <w:pPr>
              <w:spacing w:line="440" w:lineRule="exact"/>
              <w:jc w:val="center"/>
              <w:rPr>
                <w:rFonts w:hint="eastAsia" w:ascii="宋体" w:hAnsi="宋体" w:cs="宋体"/>
              </w:rPr>
            </w:pPr>
          </w:p>
        </w:tc>
        <w:tc>
          <w:tcPr>
            <w:tcW w:w="1298" w:type="dxa"/>
            <w:noWrap w:val="0"/>
            <w:vAlign w:val="center"/>
          </w:tcPr>
          <w:p>
            <w:pPr>
              <w:spacing w:before="100" w:beforeAutospacing="1" w:after="100" w:afterAutospacing="1" w:line="440" w:lineRule="exact"/>
              <w:jc w:val="center"/>
              <w:rPr>
                <w:rFonts w:hint="eastAsia" w:ascii="宋体" w:hAnsi="宋体" w:cs="宋体"/>
              </w:rPr>
            </w:pPr>
            <w:r>
              <w:rPr>
                <w:rFonts w:hint="eastAsia" w:ascii="宋体" w:hAnsi="宋体" w:cs="宋体"/>
              </w:rPr>
              <w:t>证书名称</w:t>
            </w:r>
          </w:p>
        </w:tc>
        <w:tc>
          <w:tcPr>
            <w:tcW w:w="811" w:type="dxa"/>
            <w:noWrap w:val="0"/>
            <w:vAlign w:val="center"/>
          </w:tcPr>
          <w:p>
            <w:pPr>
              <w:spacing w:before="100" w:beforeAutospacing="1" w:after="100" w:afterAutospacing="1" w:line="440" w:lineRule="exact"/>
              <w:jc w:val="center"/>
              <w:rPr>
                <w:rFonts w:hint="eastAsia" w:ascii="宋体" w:hAnsi="宋体" w:cs="宋体"/>
              </w:rPr>
            </w:pPr>
            <w:r>
              <w:rPr>
                <w:rFonts w:hint="eastAsia" w:ascii="宋体" w:hAnsi="宋体" w:cs="宋体"/>
              </w:rPr>
              <w:t>级别</w:t>
            </w:r>
          </w:p>
        </w:tc>
        <w:tc>
          <w:tcPr>
            <w:tcW w:w="997" w:type="dxa"/>
            <w:noWrap w:val="0"/>
            <w:vAlign w:val="center"/>
          </w:tcPr>
          <w:p>
            <w:pPr>
              <w:spacing w:before="100" w:beforeAutospacing="1" w:after="100" w:afterAutospacing="1" w:line="440" w:lineRule="exact"/>
              <w:jc w:val="center"/>
              <w:rPr>
                <w:rFonts w:hint="eastAsia" w:ascii="宋体" w:hAnsi="宋体" w:cs="宋体"/>
              </w:rPr>
            </w:pPr>
            <w:r>
              <w:rPr>
                <w:rFonts w:hint="eastAsia" w:ascii="宋体" w:hAnsi="宋体" w:cs="宋体"/>
              </w:rPr>
              <w:t>证号</w:t>
            </w:r>
          </w:p>
        </w:tc>
        <w:tc>
          <w:tcPr>
            <w:tcW w:w="1298" w:type="dxa"/>
            <w:noWrap w:val="0"/>
            <w:vAlign w:val="center"/>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3" w:type="dxa"/>
            <w:noWrap w:val="0"/>
            <w:vAlign w:val="center"/>
          </w:tcPr>
          <w:p>
            <w:pPr>
              <w:spacing w:line="440" w:lineRule="exact"/>
              <w:jc w:val="center"/>
              <w:rPr>
                <w:rFonts w:hint="eastAsia" w:ascii="宋体" w:hAnsi="宋体" w:cs="宋体"/>
              </w:rPr>
            </w:pPr>
          </w:p>
        </w:tc>
        <w:tc>
          <w:tcPr>
            <w:tcW w:w="1458" w:type="dxa"/>
            <w:noWrap w:val="0"/>
            <w:vAlign w:val="top"/>
          </w:tcPr>
          <w:p>
            <w:pPr>
              <w:spacing w:line="440" w:lineRule="exact"/>
              <w:jc w:val="center"/>
              <w:rPr>
                <w:rFonts w:hint="eastAsia" w:ascii="宋体" w:hAnsi="宋体" w:cs="宋体"/>
              </w:rPr>
            </w:pPr>
          </w:p>
        </w:tc>
        <w:tc>
          <w:tcPr>
            <w:tcW w:w="1135" w:type="dxa"/>
            <w:noWrap w:val="0"/>
            <w:vAlign w:val="center"/>
          </w:tcPr>
          <w:p>
            <w:pPr>
              <w:spacing w:line="440" w:lineRule="exact"/>
              <w:jc w:val="center"/>
              <w:rPr>
                <w:rFonts w:hint="eastAsia" w:ascii="宋体" w:hAnsi="宋体" w:cs="宋体"/>
              </w:rPr>
            </w:pPr>
          </w:p>
        </w:tc>
        <w:tc>
          <w:tcPr>
            <w:tcW w:w="690" w:type="dxa"/>
            <w:noWrap w:val="0"/>
            <w:vAlign w:val="center"/>
          </w:tcPr>
          <w:p>
            <w:pPr>
              <w:spacing w:line="440" w:lineRule="exact"/>
              <w:jc w:val="center"/>
              <w:rPr>
                <w:rFonts w:hint="eastAsia" w:ascii="宋体" w:hAnsi="宋体" w:cs="宋体"/>
              </w:rPr>
            </w:pPr>
          </w:p>
        </w:tc>
        <w:tc>
          <w:tcPr>
            <w:tcW w:w="557" w:type="dxa"/>
            <w:noWrap w:val="0"/>
            <w:vAlign w:val="center"/>
          </w:tcPr>
          <w:p>
            <w:pPr>
              <w:spacing w:line="440" w:lineRule="exact"/>
              <w:jc w:val="center"/>
              <w:rPr>
                <w:rFonts w:hint="eastAsia" w:ascii="宋体" w:hAnsi="宋体" w:cs="宋体"/>
              </w:rPr>
            </w:pPr>
          </w:p>
        </w:tc>
        <w:tc>
          <w:tcPr>
            <w:tcW w:w="1298" w:type="dxa"/>
            <w:noWrap w:val="0"/>
            <w:vAlign w:val="center"/>
          </w:tcPr>
          <w:p>
            <w:pPr>
              <w:spacing w:line="440" w:lineRule="exact"/>
              <w:jc w:val="center"/>
              <w:rPr>
                <w:rFonts w:hint="eastAsia" w:ascii="宋体" w:hAnsi="宋体" w:cs="宋体"/>
              </w:rPr>
            </w:pPr>
          </w:p>
        </w:tc>
        <w:tc>
          <w:tcPr>
            <w:tcW w:w="811" w:type="dxa"/>
            <w:noWrap w:val="0"/>
            <w:vAlign w:val="center"/>
          </w:tcPr>
          <w:p>
            <w:pPr>
              <w:spacing w:line="440" w:lineRule="exact"/>
              <w:jc w:val="center"/>
              <w:rPr>
                <w:rFonts w:hint="eastAsia" w:ascii="宋体" w:hAnsi="宋体" w:cs="宋体"/>
              </w:rPr>
            </w:pPr>
          </w:p>
        </w:tc>
        <w:tc>
          <w:tcPr>
            <w:tcW w:w="997" w:type="dxa"/>
            <w:noWrap w:val="0"/>
            <w:vAlign w:val="center"/>
          </w:tcPr>
          <w:p>
            <w:pPr>
              <w:spacing w:line="440" w:lineRule="exact"/>
              <w:jc w:val="center"/>
              <w:rPr>
                <w:rFonts w:hint="eastAsia" w:ascii="宋体" w:hAnsi="宋体" w:cs="宋体"/>
              </w:rPr>
            </w:pPr>
          </w:p>
        </w:tc>
        <w:tc>
          <w:tcPr>
            <w:tcW w:w="1298" w:type="dxa"/>
            <w:noWrap w:val="0"/>
            <w:vAlign w:val="center"/>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3" w:type="dxa"/>
            <w:noWrap w:val="0"/>
            <w:vAlign w:val="top"/>
          </w:tcPr>
          <w:p>
            <w:pPr>
              <w:spacing w:line="440" w:lineRule="exact"/>
              <w:jc w:val="center"/>
              <w:rPr>
                <w:rFonts w:hint="eastAsia" w:ascii="宋体" w:hAnsi="宋体" w:cs="宋体"/>
              </w:rPr>
            </w:pPr>
          </w:p>
        </w:tc>
        <w:tc>
          <w:tcPr>
            <w:tcW w:w="1458" w:type="dxa"/>
            <w:noWrap w:val="0"/>
            <w:vAlign w:val="top"/>
          </w:tcPr>
          <w:p>
            <w:pPr>
              <w:spacing w:line="440" w:lineRule="exact"/>
              <w:jc w:val="center"/>
              <w:rPr>
                <w:rFonts w:hint="eastAsia" w:ascii="宋体" w:hAnsi="宋体" w:cs="宋体"/>
              </w:rPr>
            </w:pPr>
          </w:p>
        </w:tc>
        <w:tc>
          <w:tcPr>
            <w:tcW w:w="1135" w:type="dxa"/>
            <w:noWrap w:val="0"/>
            <w:vAlign w:val="top"/>
          </w:tcPr>
          <w:p>
            <w:pPr>
              <w:spacing w:line="440" w:lineRule="exact"/>
              <w:jc w:val="center"/>
              <w:rPr>
                <w:rFonts w:hint="eastAsia" w:ascii="宋体" w:hAnsi="宋体" w:cs="宋体"/>
              </w:rPr>
            </w:pPr>
          </w:p>
        </w:tc>
        <w:tc>
          <w:tcPr>
            <w:tcW w:w="690" w:type="dxa"/>
            <w:noWrap w:val="0"/>
            <w:vAlign w:val="top"/>
          </w:tcPr>
          <w:p>
            <w:pPr>
              <w:spacing w:line="440" w:lineRule="exact"/>
              <w:jc w:val="center"/>
              <w:rPr>
                <w:rFonts w:hint="eastAsia" w:ascii="宋体" w:hAnsi="宋体" w:cs="宋体"/>
              </w:rPr>
            </w:pPr>
          </w:p>
        </w:tc>
        <w:tc>
          <w:tcPr>
            <w:tcW w:w="55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c>
          <w:tcPr>
            <w:tcW w:w="811" w:type="dxa"/>
            <w:noWrap w:val="0"/>
            <w:vAlign w:val="top"/>
          </w:tcPr>
          <w:p>
            <w:pPr>
              <w:spacing w:line="440" w:lineRule="exact"/>
              <w:jc w:val="center"/>
              <w:rPr>
                <w:rFonts w:hint="eastAsia" w:ascii="宋体" w:hAnsi="宋体" w:cs="宋体"/>
              </w:rPr>
            </w:pPr>
          </w:p>
        </w:tc>
        <w:tc>
          <w:tcPr>
            <w:tcW w:w="99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3" w:type="dxa"/>
            <w:noWrap w:val="0"/>
            <w:vAlign w:val="top"/>
          </w:tcPr>
          <w:p>
            <w:pPr>
              <w:spacing w:line="440" w:lineRule="exact"/>
              <w:jc w:val="center"/>
              <w:rPr>
                <w:rFonts w:hint="eastAsia" w:ascii="宋体" w:hAnsi="宋体" w:cs="宋体"/>
              </w:rPr>
            </w:pPr>
          </w:p>
        </w:tc>
        <w:tc>
          <w:tcPr>
            <w:tcW w:w="1458" w:type="dxa"/>
            <w:noWrap w:val="0"/>
            <w:vAlign w:val="top"/>
          </w:tcPr>
          <w:p>
            <w:pPr>
              <w:spacing w:line="440" w:lineRule="exact"/>
              <w:jc w:val="center"/>
              <w:rPr>
                <w:rFonts w:hint="eastAsia" w:ascii="宋体" w:hAnsi="宋体" w:cs="宋体"/>
              </w:rPr>
            </w:pPr>
          </w:p>
        </w:tc>
        <w:tc>
          <w:tcPr>
            <w:tcW w:w="1135" w:type="dxa"/>
            <w:noWrap w:val="0"/>
            <w:vAlign w:val="top"/>
          </w:tcPr>
          <w:p>
            <w:pPr>
              <w:spacing w:line="440" w:lineRule="exact"/>
              <w:jc w:val="center"/>
              <w:rPr>
                <w:rFonts w:hint="eastAsia" w:ascii="宋体" w:hAnsi="宋体" w:cs="宋体"/>
              </w:rPr>
            </w:pPr>
          </w:p>
        </w:tc>
        <w:tc>
          <w:tcPr>
            <w:tcW w:w="690" w:type="dxa"/>
            <w:noWrap w:val="0"/>
            <w:vAlign w:val="top"/>
          </w:tcPr>
          <w:p>
            <w:pPr>
              <w:spacing w:line="440" w:lineRule="exact"/>
              <w:jc w:val="center"/>
              <w:rPr>
                <w:rFonts w:hint="eastAsia" w:ascii="宋体" w:hAnsi="宋体" w:cs="宋体"/>
              </w:rPr>
            </w:pPr>
          </w:p>
        </w:tc>
        <w:tc>
          <w:tcPr>
            <w:tcW w:w="55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c>
          <w:tcPr>
            <w:tcW w:w="811" w:type="dxa"/>
            <w:noWrap w:val="0"/>
            <w:vAlign w:val="top"/>
          </w:tcPr>
          <w:p>
            <w:pPr>
              <w:spacing w:line="440" w:lineRule="exact"/>
              <w:jc w:val="center"/>
              <w:rPr>
                <w:rFonts w:hint="eastAsia" w:ascii="宋体" w:hAnsi="宋体" w:cs="宋体"/>
              </w:rPr>
            </w:pPr>
          </w:p>
        </w:tc>
        <w:tc>
          <w:tcPr>
            <w:tcW w:w="99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3" w:type="dxa"/>
            <w:noWrap w:val="0"/>
            <w:vAlign w:val="top"/>
          </w:tcPr>
          <w:p>
            <w:pPr>
              <w:spacing w:line="440" w:lineRule="exact"/>
              <w:jc w:val="center"/>
              <w:rPr>
                <w:rFonts w:hint="eastAsia" w:ascii="宋体" w:hAnsi="宋体" w:cs="宋体"/>
              </w:rPr>
            </w:pPr>
          </w:p>
        </w:tc>
        <w:tc>
          <w:tcPr>
            <w:tcW w:w="1458" w:type="dxa"/>
            <w:noWrap w:val="0"/>
            <w:vAlign w:val="top"/>
          </w:tcPr>
          <w:p>
            <w:pPr>
              <w:spacing w:line="440" w:lineRule="exact"/>
              <w:jc w:val="center"/>
              <w:rPr>
                <w:rFonts w:hint="eastAsia" w:ascii="宋体" w:hAnsi="宋体" w:cs="宋体"/>
              </w:rPr>
            </w:pPr>
          </w:p>
        </w:tc>
        <w:tc>
          <w:tcPr>
            <w:tcW w:w="1135" w:type="dxa"/>
            <w:noWrap w:val="0"/>
            <w:vAlign w:val="top"/>
          </w:tcPr>
          <w:p>
            <w:pPr>
              <w:spacing w:line="440" w:lineRule="exact"/>
              <w:jc w:val="center"/>
              <w:rPr>
                <w:rFonts w:hint="eastAsia" w:ascii="宋体" w:hAnsi="宋体" w:cs="宋体"/>
              </w:rPr>
            </w:pPr>
          </w:p>
        </w:tc>
        <w:tc>
          <w:tcPr>
            <w:tcW w:w="690" w:type="dxa"/>
            <w:noWrap w:val="0"/>
            <w:vAlign w:val="top"/>
          </w:tcPr>
          <w:p>
            <w:pPr>
              <w:spacing w:line="440" w:lineRule="exact"/>
              <w:jc w:val="center"/>
              <w:rPr>
                <w:rFonts w:hint="eastAsia" w:ascii="宋体" w:hAnsi="宋体" w:cs="宋体"/>
              </w:rPr>
            </w:pPr>
          </w:p>
        </w:tc>
        <w:tc>
          <w:tcPr>
            <w:tcW w:w="55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c>
          <w:tcPr>
            <w:tcW w:w="811" w:type="dxa"/>
            <w:noWrap w:val="0"/>
            <w:vAlign w:val="top"/>
          </w:tcPr>
          <w:p>
            <w:pPr>
              <w:spacing w:line="440" w:lineRule="exact"/>
              <w:jc w:val="center"/>
              <w:rPr>
                <w:rFonts w:hint="eastAsia" w:ascii="宋体" w:hAnsi="宋体" w:cs="宋体"/>
              </w:rPr>
            </w:pPr>
          </w:p>
        </w:tc>
        <w:tc>
          <w:tcPr>
            <w:tcW w:w="99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3" w:type="dxa"/>
            <w:noWrap w:val="0"/>
            <w:vAlign w:val="top"/>
          </w:tcPr>
          <w:p>
            <w:pPr>
              <w:spacing w:line="440" w:lineRule="exact"/>
              <w:jc w:val="center"/>
              <w:rPr>
                <w:rFonts w:hint="eastAsia" w:ascii="宋体" w:hAnsi="宋体" w:cs="宋体"/>
              </w:rPr>
            </w:pPr>
          </w:p>
        </w:tc>
        <w:tc>
          <w:tcPr>
            <w:tcW w:w="1458" w:type="dxa"/>
            <w:noWrap w:val="0"/>
            <w:vAlign w:val="top"/>
          </w:tcPr>
          <w:p>
            <w:pPr>
              <w:spacing w:line="440" w:lineRule="exact"/>
              <w:jc w:val="center"/>
              <w:rPr>
                <w:rFonts w:hint="eastAsia" w:ascii="宋体" w:hAnsi="宋体" w:cs="宋体"/>
              </w:rPr>
            </w:pPr>
          </w:p>
        </w:tc>
        <w:tc>
          <w:tcPr>
            <w:tcW w:w="1135" w:type="dxa"/>
            <w:noWrap w:val="0"/>
            <w:vAlign w:val="top"/>
          </w:tcPr>
          <w:p>
            <w:pPr>
              <w:spacing w:line="440" w:lineRule="exact"/>
              <w:jc w:val="center"/>
              <w:rPr>
                <w:rFonts w:hint="eastAsia" w:ascii="宋体" w:hAnsi="宋体" w:cs="宋体"/>
              </w:rPr>
            </w:pPr>
          </w:p>
        </w:tc>
        <w:tc>
          <w:tcPr>
            <w:tcW w:w="690" w:type="dxa"/>
            <w:noWrap w:val="0"/>
            <w:vAlign w:val="top"/>
          </w:tcPr>
          <w:p>
            <w:pPr>
              <w:spacing w:line="440" w:lineRule="exact"/>
              <w:jc w:val="center"/>
              <w:rPr>
                <w:rFonts w:hint="eastAsia" w:ascii="宋体" w:hAnsi="宋体" w:cs="宋体"/>
              </w:rPr>
            </w:pPr>
          </w:p>
        </w:tc>
        <w:tc>
          <w:tcPr>
            <w:tcW w:w="55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c>
          <w:tcPr>
            <w:tcW w:w="811" w:type="dxa"/>
            <w:noWrap w:val="0"/>
            <w:vAlign w:val="top"/>
          </w:tcPr>
          <w:p>
            <w:pPr>
              <w:spacing w:line="440" w:lineRule="exact"/>
              <w:jc w:val="center"/>
              <w:rPr>
                <w:rFonts w:hint="eastAsia" w:ascii="宋体" w:hAnsi="宋体" w:cs="宋体"/>
              </w:rPr>
            </w:pPr>
          </w:p>
        </w:tc>
        <w:tc>
          <w:tcPr>
            <w:tcW w:w="99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3" w:type="dxa"/>
            <w:noWrap w:val="0"/>
            <w:vAlign w:val="top"/>
          </w:tcPr>
          <w:p>
            <w:pPr>
              <w:spacing w:line="440" w:lineRule="exact"/>
              <w:jc w:val="center"/>
              <w:rPr>
                <w:rFonts w:hint="eastAsia" w:ascii="宋体" w:hAnsi="宋体" w:cs="宋体"/>
              </w:rPr>
            </w:pPr>
          </w:p>
        </w:tc>
        <w:tc>
          <w:tcPr>
            <w:tcW w:w="1458" w:type="dxa"/>
            <w:noWrap w:val="0"/>
            <w:vAlign w:val="top"/>
          </w:tcPr>
          <w:p>
            <w:pPr>
              <w:spacing w:line="440" w:lineRule="exact"/>
              <w:jc w:val="center"/>
              <w:rPr>
                <w:rFonts w:hint="eastAsia" w:ascii="宋体" w:hAnsi="宋体" w:cs="宋体"/>
              </w:rPr>
            </w:pPr>
          </w:p>
        </w:tc>
        <w:tc>
          <w:tcPr>
            <w:tcW w:w="1135" w:type="dxa"/>
            <w:noWrap w:val="0"/>
            <w:vAlign w:val="top"/>
          </w:tcPr>
          <w:p>
            <w:pPr>
              <w:spacing w:line="440" w:lineRule="exact"/>
              <w:jc w:val="center"/>
              <w:rPr>
                <w:rFonts w:hint="eastAsia" w:ascii="宋体" w:hAnsi="宋体" w:cs="宋体"/>
              </w:rPr>
            </w:pPr>
          </w:p>
        </w:tc>
        <w:tc>
          <w:tcPr>
            <w:tcW w:w="690" w:type="dxa"/>
            <w:noWrap w:val="0"/>
            <w:vAlign w:val="top"/>
          </w:tcPr>
          <w:p>
            <w:pPr>
              <w:spacing w:line="440" w:lineRule="exact"/>
              <w:jc w:val="center"/>
              <w:rPr>
                <w:rFonts w:hint="eastAsia" w:ascii="宋体" w:hAnsi="宋体" w:cs="宋体"/>
              </w:rPr>
            </w:pPr>
          </w:p>
        </w:tc>
        <w:tc>
          <w:tcPr>
            <w:tcW w:w="55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c>
          <w:tcPr>
            <w:tcW w:w="811" w:type="dxa"/>
            <w:noWrap w:val="0"/>
            <w:vAlign w:val="top"/>
          </w:tcPr>
          <w:p>
            <w:pPr>
              <w:spacing w:line="440" w:lineRule="exact"/>
              <w:jc w:val="center"/>
              <w:rPr>
                <w:rFonts w:hint="eastAsia" w:ascii="宋体" w:hAnsi="宋体" w:cs="宋体"/>
              </w:rPr>
            </w:pPr>
          </w:p>
        </w:tc>
        <w:tc>
          <w:tcPr>
            <w:tcW w:w="99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3" w:type="dxa"/>
            <w:noWrap w:val="0"/>
            <w:vAlign w:val="top"/>
          </w:tcPr>
          <w:p>
            <w:pPr>
              <w:spacing w:line="440" w:lineRule="exact"/>
              <w:jc w:val="center"/>
              <w:rPr>
                <w:rFonts w:hint="eastAsia" w:ascii="宋体" w:hAnsi="宋体" w:cs="宋体"/>
              </w:rPr>
            </w:pPr>
          </w:p>
        </w:tc>
        <w:tc>
          <w:tcPr>
            <w:tcW w:w="1458" w:type="dxa"/>
            <w:noWrap w:val="0"/>
            <w:vAlign w:val="top"/>
          </w:tcPr>
          <w:p>
            <w:pPr>
              <w:spacing w:line="440" w:lineRule="exact"/>
              <w:jc w:val="center"/>
              <w:rPr>
                <w:rFonts w:hint="eastAsia" w:ascii="宋体" w:hAnsi="宋体" w:cs="宋体"/>
              </w:rPr>
            </w:pPr>
          </w:p>
        </w:tc>
        <w:tc>
          <w:tcPr>
            <w:tcW w:w="1135" w:type="dxa"/>
            <w:noWrap w:val="0"/>
            <w:vAlign w:val="top"/>
          </w:tcPr>
          <w:p>
            <w:pPr>
              <w:spacing w:line="440" w:lineRule="exact"/>
              <w:jc w:val="center"/>
              <w:rPr>
                <w:rFonts w:hint="eastAsia" w:ascii="宋体" w:hAnsi="宋体" w:cs="宋体"/>
              </w:rPr>
            </w:pPr>
          </w:p>
        </w:tc>
        <w:tc>
          <w:tcPr>
            <w:tcW w:w="690" w:type="dxa"/>
            <w:noWrap w:val="0"/>
            <w:vAlign w:val="top"/>
          </w:tcPr>
          <w:p>
            <w:pPr>
              <w:spacing w:line="440" w:lineRule="exact"/>
              <w:jc w:val="center"/>
              <w:rPr>
                <w:rFonts w:hint="eastAsia" w:ascii="宋体" w:hAnsi="宋体" w:cs="宋体"/>
              </w:rPr>
            </w:pPr>
          </w:p>
        </w:tc>
        <w:tc>
          <w:tcPr>
            <w:tcW w:w="55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c>
          <w:tcPr>
            <w:tcW w:w="811" w:type="dxa"/>
            <w:noWrap w:val="0"/>
            <w:vAlign w:val="top"/>
          </w:tcPr>
          <w:p>
            <w:pPr>
              <w:spacing w:line="440" w:lineRule="exact"/>
              <w:jc w:val="center"/>
              <w:rPr>
                <w:rFonts w:hint="eastAsia" w:ascii="宋体" w:hAnsi="宋体" w:cs="宋体"/>
              </w:rPr>
            </w:pPr>
          </w:p>
        </w:tc>
        <w:tc>
          <w:tcPr>
            <w:tcW w:w="99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3" w:type="dxa"/>
            <w:noWrap w:val="0"/>
            <w:vAlign w:val="top"/>
          </w:tcPr>
          <w:p>
            <w:pPr>
              <w:spacing w:line="440" w:lineRule="exact"/>
              <w:jc w:val="center"/>
              <w:rPr>
                <w:rFonts w:hint="eastAsia" w:ascii="宋体" w:hAnsi="宋体" w:cs="宋体"/>
              </w:rPr>
            </w:pPr>
          </w:p>
        </w:tc>
        <w:tc>
          <w:tcPr>
            <w:tcW w:w="1458" w:type="dxa"/>
            <w:noWrap w:val="0"/>
            <w:vAlign w:val="top"/>
          </w:tcPr>
          <w:p>
            <w:pPr>
              <w:spacing w:line="440" w:lineRule="exact"/>
              <w:jc w:val="center"/>
              <w:rPr>
                <w:rFonts w:hint="eastAsia" w:ascii="宋体" w:hAnsi="宋体" w:cs="宋体"/>
              </w:rPr>
            </w:pPr>
          </w:p>
        </w:tc>
        <w:tc>
          <w:tcPr>
            <w:tcW w:w="1135" w:type="dxa"/>
            <w:noWrap w:val="0"/>
            <w:vAlign w:val="top"/>
          </w:tcPr>
          <w:p>
            <w:pPr>
              <w:spacing w:line="440" w:lineRule="exact"/>
              <w:jc w:val="center"/>
              <w:rPr>
                <w:rFonts w:hint="eastAsia" w:ascii="宋体" w:hAnsi="宋体" w:cs="宋体"/>
              </w:rPr>
            </w:pPr>
          </w:p>
        </w:tc>
        <w:tc>
          <w:tcPr>
            <w:tcW w:w="690" w:type="dxa"/>
            <w:noWrap w:val="0"/>
            <w:vAlign w:val="top"/>
          </w:tcPr>
          <w:p>
            <w:pPr>
              <w:spacing w:line="440" w:lineRule="exact"/>
              <w:jc w:val="center"/>
              <w:rPr>
                <w:rFonts w:hint="eastAsia" w:ascii="宋体" w:hAnsi="宋体" w:cs="宋体"/>
              </w:rPr>
            </w:pPr>
          </w:p>
        </w:tc>
        <w:tc>
          <w:tcPr>
            <w:tcW w:w="55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c>
          <w:tcPr>
            <w:tcW w:w="811" w:type="dxa"/>
            <w:noWrap w:val="0"/>
            <w:vAlign w:val="top"/>
          </w:tcPr>
          <w:p>
            <w:pPr>
              <w:spacing w:line="440" w:lineRule="exact"/>
              <w:jc w:val="center"/>
              <w:rPr>
                <w:rFonts w:hint="eastAsia" w:ascii="宋体" w:hAnsi="宋体" w:cs="宋体"/>
              </w:rPr>
            </w:pPr>
          </w:p>
        </w:tc>
        <w:tc>
          <w:tcPr>
            <w:tcW w:w="99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3" w:type="dxa"/>
            <w:noWrap w:val="0"/>
            <w:vAlign w:val="top"/>
          </w:tcPr>
          <w:p>
            <w:pPr>
              <w:spacing w:line="440" w:lineRule="exact"/>
              <w:jc w:val="center"/>
              <w:rPr>
                <w:rFonts w:hint="eastAsia" w:ascii="宋体" w:hAnsi="宋体" w:cs="宋体"/>
              </w:rPr>
            </w:pPr>
          </w:p>
        </w:tc>
        <w:tc>
          <w:tcPr>
            <w:tcW w:w="1458" w:type="dxa"/>
            <w:noWrap w:val="0"/>
            <w:vAlign w:val="top"/>
          </w:tcPr>
          <w:p>
            <w:pPr>
              <w:spacing w:line="440" w:lineRule="exact"/>
              <w:jc w:val="center"/>
              <w:rPr>
                <w:rFonts w:hint="eastAsia" w:ascii="宋体" w:hAnsi="宋体" w:cs="宋体"/>
              </w:rPr>
            </w:pPr>
          </w:p>
        </w:tc>
        <w:tc>
          <w:tcPr>
            <w:tcW w:w="1135" w:type="dxa"/>
            <w:noWrap w:val="0"/>
            <w:vAlign w:val="top"/>
          </w:tcPr>
          <w:p>
            <w:pPr>
              <w:spacing w:line="440" w:lineRule="exact"/>
              <w:jc w:val="center"/>
              <w:rPr>
                <w:rFonts w:hint="eastAsia" w:ascii="宋体" w:hAnsi="宋体" w:cs="宋体"/>
              </w:rPr>
            </w:pPr>
          </w:p>
        </w:tc>
        <w:tc>
          <w:tcPr>
            <w:tcW w:w="690" w:type="dxa"/>
            <w:noWrap w:val="0"/>
            <w:vAlign w:val="top"/>
          </w:tcPr>
          <w:p>
            <w:pPr>
              <w:spacing w:line="440" w:lineRule="exact"/>
              <w:jc w:val="center"/>
              <w:rPr>
                <w:rFonts w:hint="eastAsia" w:ascii="宋体" w:hAnsi="宋体" w:cs="宋体"/>
              </w:rPr>
            </w:pPr>
          </w:p>
        </w:tc>
        <w:tc>
          <w:tcPr>
            <w:tcW w:w="55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c>
          <w:tcPr>
            <w:tcW w:w="811" w:type="dxa"/>
            <w:noWrap w:val="0"/>
            <w:vAlign w:val="top"/>
          </w:tcPr>
          <w:p>
            <w:pPr>
              <w:spacing w:line="440" w:lineRule="exact"/>
              <w:jc w:val="center"/>
              <w:rPr>
                <w:rFonts w:hint="eastAsia" w:ascii="宋体" w:hAnsi="宋体" w:cs="宋体"/>
              </w:rPr>
            </w:pPr>
          </w:p>
        </w:tc>
        <w:tc>
          <w:tcPr>
            <w:tcW w:w="99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3" w:type="dxa"/>
            <w:noWrap w:val="0"/>
            <w:vAlign w:val="top"/>
          </w:tcPr>
          <w:p>
            <w:pPr>
              <w:spacing w:line="440" w:lineRule="exact"/>
              <w:jc w:val="center"/>
              <w:rPr>
                <w:rFonts w:hint="eastAsia" w:ascii="宋体" w:hAnsi="宋体" w:cs="宋体"/>
              </w:rPr>
            </w:pPr>
          </w:p>
        </w:tc>
        <w:tc>
          <w:tcPr>
            <w:tcW w:w="1458" w:type="dxa"/>
            <w:noWrap w:val="0"/>
            <w:vAlign w:val="top"/>
          </w:tcPr>
          <w:p>
            <w:pPr>
              <w:spacing w:line="440" w:lineRule="exact"/>
              <w:jc w:val="center"/>
              <w:rPr>
                <w:rFonts w:hint="eastAsia" w:ascii="宋体" w:hAnsi="宋体" w:cs="宋体"/>
              </w:rPr>
            </w:pPr>
          </w:p>
        </w:tc>
        <w:tc>
          <w:tcPr>
            <w:tcW w:w="1135" w:type="dxa"/>
            <w:noWrap w:val="0"/>
            <w:vAlign w:val="top"/>
          </w:tcPr>
          <w:p>
            <w:pPr>
              <w:spacing w:line="440" w:lineRule="exact"/>
              <w:jc w:val="center"/>
              <w:rPr>
                <w:rFonts w:hint="eastAsia" w:ascii="宋体" w:hAnsi="宋体" w:cs="宋体"/>
              </w:rPr>
            </w:pPr>
          </w:p>
        </w:tc>
        <w:tc>
          <w:tcPr>
            <w:tcW w:w="690" w:type="dxa"/>
            <w:noWrap w:val="0"/>
            <w:vAlign w:val="top"/>
          </w:tcPr>
          <w:p>
            <w:pPr>
              <w:spacing w:line="440" w:lineRule="exact"/>
              <w:jc w:val="center"/>
              <w:rPr>
                <w:rFonts w:hint="eastAsia" w:ascii="宋体" w:hAnsi="宋体" w:cs="宋体"/>
              </w:rPr>
            </w:pPr>
          </w:p>
        </w:tc>
        <w:tc>
          <w:tcPr>
            <w:tcW w:w="55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c>
          <w:tcPr>
            <w:tcW w:w="811" w:type="dxa"/>
            <w:noWrap w:val="0"/>
            <w:vAlign w:val="top"/>
          </w:tcPr>
          <w:p>
            <w:pPr>
              <w:spacing w:line="440" w:lineRule="exact"/>
              <w:jc w:val="center"/>
              <w:rPr>
                <w:rFonts w:hint="eastAsia" w:ascii="宋体" w:hAnsi="宋体" w:cs="宋体"/>
              </w:rPr>
            </w:pPr>
          </w:p>
        </w:tc>
        <w:tc>
          <w:tcPr>
            <w:tcW w:w="99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3" w:type="dxa"/>
            <w:noWrap w:val="0"/>
            <w:vAlign w:val="top"/>
          </w:tcPr>
          <w:p>
            <w:pPr>
              <w:spacing w:line="440" w:lineRule="exact"/>
              <w:jc w:val="center"/>
              <w:rPr>
                <w:rFonts w:hint="eastAsia" w:ascii="宋体" w:hAnsi="宋体" w:cs="宋体"/>
              </w:rPr>
            </w:pPr>
          </w:p>
        </w:tc>
        <w:tc>
          <w:tcPr>
            <w:tcW w:w="1458" w:type="dxa"/>
            <w:noWrap w:val="0"/>
            <w:vAlign w:val="top"/>
          </w:tcPr>
          <w:p>
            <w:pPr>
              <w:spacing w:line="440" w:lineRule="exact"/>
              <w:jc w:val="center"/>
              <w:rPr>
                <w:rFonts w:hint="eastAsia" w:ascii="宋体" w:hAnsi="宋体" w:cs="宋体"/>
              </w:rPr>
            </w:pPr>
          </w:p>
        </w:tc>
        <w:tc>
          <w:tcPr>
            <w:tcW w:w="1135" w:type="dxa"/>
            <w:noWrap w:val="0"/>
            <w:vAlign w:val="top"/>
          </w:tcPr>
          <w:p>
            <w:pPr>
              <w:spacing w:line="440" w:lineRule="exact"/>
              <w:jc w:val="center"/>
              <w:rPr>
                <w:rFonts w:hint="eastAsia" w:ascii="宋体" w:hAnsi="宋体" w:cs="宋体"/>
              </w:rPr>
            </w:pPr>
          </w:p>
        </w:tc>
        <w:tc>
          <w:tcPr>
            <w:tcW w:w="690" w:type="dxa"/>
            <w:noWrap w:val="0"/>
            <w:vAlign w:val="top"/>
          </w:tcPr>
          <w:p>
            <w:pPr>
              <w:spacing w:line="440" w:lineRule="exact"/>
              <w:jc w:val="center"/>
              <w:rPr>
                <w:rFonts w:hint="eastAsia" w:ascii="宋体" w:hAnsi="宋体" w:cs="宋体"/>
              </w:rPr>
            </w:pPr>
          </w:p>
        </w:tc>
        <w:tc>
          <w:tcPr>
            <w:tcW w:w="55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c>
          <w:tcPr>
            <w:tcW w:w="811" w:type="dxa"/>
            <w:noWrap w:val="0"/>
            <w:vAlign w:val="top"/>
          </w:tcPr>
          <w:p>
            <w:pPr>
              <w:spacing w:line="440" w:lineRule="exact"/>
              <w:jc w:val="center"/>
              <w:rPr>
                <w:rFonts w:hint="eastAsia" w:ascii="宋体" w:hAnsi="宋体" w:cs="宋体"/>
              </w:rPr>
            </w:pPr>
          </w:p>
        </w:tc>
        <w:tc>
          <w:tcPr>
            <w:tcW w:w="99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3" w:type="dxa"/>
            <w:noWrap w:val="0"/>
            <w:vAlign w:val="top"/>
          </w:tcPr>
          <w:p>
            <w:pPr>
              <w:spacing w:line="440" w:lineRule="exact"/>
              <w:jc w:val="center"/>
              <w:rPr>
                <w:rFonts w:hint="eastAsia" w:ascii="宋体" w:hAnsi="宋体" w:cs="宋体"/>
              </w:rPr>
            </w:pPr>
          </w:p>
        </w:tc>
        <w:tc>
          <w:tcPr>
            <w:tcW w:w="1458" w:type="dxa"/>
            <w:noWrap w:val="0"/>
            <w:vAlign w:val="top"/>
          </w:tcPr>
          <w:p>
            <w:pPr>
              <w:spacing w:line="440" w:lineRule="exact"/>
              <w:jc w:val="center"/>
              <w:rPr>
                <w:rFonts w:hint="eastAsia" w:ascii="宋体" w:hAnsi="宋体" w:cs="宋体"/>
              </w:rPr>
            </w:pPr>
          </w:p>
        </w:tc>
        <w:tc>
          <w:tcPr>
            <w:tcW w:w="1135" w:type="dxa"/>
            <w:noWrap w:val="0"/>
            <w:vAlign w:val="top"/>
          </w:tcPr>
          <w:p>
            <w:pPr>
              <w:spacing w:line="440" w:lineRule="exact"/>
              <w:jc w:val="center"/>
              <w:rPr>
                <w:rFonts w:hint="eastAsia" w:ascii="宋体" w:hAnsi="宋体" w:cs="宋体"/>
              </w:rPr>
            </w:pPr>
          </w:p>
        </w:tc>
        <w:tc>
          <w:tcPr>
            <w:tcW w:w="690" w:type="dxa"/>
            <w:noWrap w:val="0"/>
            <w:vAlign w:val="top"/>
          </w:tcPr>
          <w:p>
            <w:pPr>
              <w:spacing w:line="440" w:lineRule="exact"/>
              <w:jc w:val="center"/>
              <w:rPr>
                <w:rFonts w:hint="eastAsia" w:ascii="宋体" w:hAnsi="宋体" w:cs="宋体"/>
              </w:rPr>
            </w:pPr>
          </w:p>
        </w:tc>
        <w:tc>
          <w:tcPr>
            <w:tcW w:w="55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c>
          <w:tcPr>
            <w:tcW w:w="811" w:type="dxa"/>
            <w:noWrap w:val="0"/>
            <w:vAlign w:val="top"/>
          </w:tcPr>
          <w:p>
            <w:pPr>
              <w:spacing w:line="440" w:lineRule="exact"/>
              <w:jc w:val="center"/>
              <w:rPr>
                <w:rFonts w:hint="eastAsia" w:ascii="宋体" w:hAnsi="宋体" w:cs="宋体"/>
              </w:rPr>
            </w:pPr>
          </w:p>
        </w:tc>
        <w:tc>
          <w:tcPr>
            <w:tcW w:w="99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33" w:type="dxa"/>
            <w:noWrap w:val="0"/>
            <w:vAlign w:val="top"/>
          </w:tcPr>
          <w:p>
            <w:pPr>
              <w:spacing w:line="440" w:lineRule="exact"/>
              <w:jc w:val="center"/>
              <w:rPr>
                <w:rFonts w:hint="eastAsia" w:ascii="宋体" w:hAnsi="宋体" w:cs="宋体"/>
              </w:rPr>
            </w:pPr>
          </w:p>
        </w:tc>
        <w:tc>
          <w:tcPr>
            <w:tcW w:w="1458" w:type="dxa"/>
            <w:noWrap w:val="0"/>
            <w:vAlign w:val="top"/>
          </w:tcPr>
          <w:p>
            <w:pPr>
              <w:spacing w:line="440" w:lineRule="exact"/>
              <w:jc w:val="center"/>
              <w:rPr>
                <w:rFonts w:hint="eastAsia" w:ascii="宋体" w:hAnsi="宋体" w:cs="宋体"/>
              </w:rPr>
            </w:pPr>
          </w:p>
        </w:tc>
        <w:tc>
          <w:tcPr>
            <w:tcW w:w="1135" w:type="dxa"/>
            <w:noWrap w:val="0"/>
            <w:vAlign w:val="top"/>
          </w:tcPr>
          <w:p>
            <w:pPr>
              <w:spacing w:line="440" w:lineRule="exact"/>
              <w:jc w:val="center"/>
              <w:rPr>
                <w:rFonts w:hint="eastAsia" w:ascii="宋体" w:hAnsi="宋体" w:cs="宋体"/>
              </w:rPr>
            </w:pPr>
          </w:p>
        </w:tc>
        <w:tc>
          <w:tcPr>
            <w:tcW w:w="690" w:type="dxa"/>
            <w:noWrap w:val="0"/>
            <w:vAlign w:val="top"/>
          </w:tcPr>
          <w:p>
            <w:pPr>
              <w:spacing w:line="440" w:lineRule="exact"/>
              <w:jc w:val="center"/>
              <w:rPr>
                <w:rFonts w:hint="eastAsia" w:ascii="宋体" w:hAnsi="宋体" w:cs="宋体"/>
              </w:rPr>
            </w:pPr>
          </w:p>
        </w:tc>
        <w:tc>
          <w:tcPr>
            <w:tcW w:w="55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c>
          <w:tcPr>
            <w:tcW w:w="811" w:type="dxa"/>
            <w:noWrap w:val="0"/>
            <w:vAlign w:val="top"/>
          </w:tcPr>
          <w:p>
            <w:pPr>
              <w:spacing w:line="440" w:lineRule="exact"/>
              <w:jc w:val="center"/>
              <w:rPr>
                <w:rFonts w:hint="eastAsia" w:ascii="宋体" w:hAnsi="宋体" w:cs="宋体"/>
              </w:rPr>
            </w:pPr>
          </w:p>
        </w:tc>
        <w:tc>
          <w:tcPr>
            <w:tcW w:w="99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33" w:type="dxa"/>
            <w:noWrap w:val="0"/>
            <w:vAlign w:val="top"/>
          </w:tcPr>
          <w:p>
            <w:pPr>
              <w:spacing w:line="440" w:lineRule="exact"/>
              <w:jc w:val="center"/>
              <w:rPr>
                <w:rFonts w:hint="eastAsia" w:ascii="宋体" w:hAnsi="宋体" w:cs="宋体"/>
              </w:rPr>
            </w:pPr>
          </w:p>
        </w:tc>
        <w:tc>
          <w:tcPr>
            <w:tcW w:w="1458" w:type="dxa"/>
            <w:noWrap w:val="0"/>
            <w:vAlign w:val="top"/>
          </w:tcPr>
          <w:p>
            <w:pPr>
              <w:spacing w:line="440" w:lineRule="exact"/>
              <w:jc w:val="center"/>
              <w:rPr>
                <w:rFonts w:hint="eastAsia" w:ascii="宋体" w:hAnsi="宋体" w:cs="宋体"/>
              </w:rPr>
            </w:pPr>
          </w:p>
        </w:tc>
        <w:tc>
          <w:tcPr>
            <w:tcW w:w="1135" w:type="dxa"/>
            <w:noWrap w:val="0"/>
            <w:vAlign w:val="top"/>
          </w:tcPr>
          <w:p>
            <w:pPr>
              <w:spacing w:line="440" w:lineRule="exact"/>
              <w:jc w:val="center"/>
              <w:rPr>
                <w:rFonts w:hint="eastAsia" w:ascii="宋体" w:hAnsi="宋体" w:cs="宋体"/>
              </w:rPr>
            </w:pPr>
          </w:p>
        </w:tc>
        <w:tc>
          <w:tcPr>
            <w:tcW w:w="690" w:type="dxa"/>
            <w:noWrap w:val="0"/>
            <w:vAlign w:val="top"/>
          </w:tcPr>
          <w:p>
            <w:pPr>
              <w:spacing w:line="440" w:lineRule="exact"/>
              <w:jc w:val="center"/>
              <w:rPr>
                <w:rFonts w:hint="eastAsia" w:ascii="宋体" w:hAnsi="宋体" w:cs="宋体"/>
              </w:rPr>
            </w:pPr>
          </w:p>
        </w:tc>
        <w:tc>
          <w:tcPr>
            <w:tcW w:w="55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c>
          <w:tcPr>
            <w:tcW w:w="811" w:type="dxa"/>
            <w:noWrap w:val="0"/>
            <w:vAlign w:val="top"/>
          </w:tcPr>
          <w:p>
            <w:pPr>
              <w:spacing w:line="440" w:lineRule="exact"/>
              <w:jc w:val="center"/>
              <w:rPr>
                <w:rFonts w:hint="eastAsia" w:ascii="宋体" w:hAnsi="宋体" w:cs="宋体"/>
              </w:rPr>
            </w:pPr>
          </w:p>
        </w:tc>
        <w:tc>
          <w:tcPr>
            <w:tcW w:w="997" w:type="dxa"/>
            <w:noWrap w:val="0"/>
            <w:vAlign w:val="top"/>
          </w:tcPr>
          <w:p>
            <w:pPr>
              <w:spacing w:line="440" w:lineRule="exact"/>
              <w:jc w:val="center"/>
              <w:rPr>
                <w:rFonts w:hint="eastAsia" w:ascii="宋体" w:hAnsi="宋体" w:cs="宋体"/>
              </w:rPr>
            </w:pPr>
          </w:p>
        </w:tc>
        <w:tc>
          <w:tcPr>
            <w:tcW w:w="1298" w:type="dxa"/>
            <w:noWrap w:val="0"/>
            <w:vAlign w:val="top"/>
          </w:tcPr>
          <w:p>
            <w:pPr>
              <w:spacing w:line="440" w:lineRule="exact"/>
              <w:jc w:val="center"/>
              <w:rPr>
                <w:rFonts w:hint="eastAsia" w:ascii="宋体" w:hAnsi="宋体" w:cs="宋体"/>
              </w:rPr>
            </w:pPr>
          </w:p>
        </w:tc>
      </w:tr>
    </w:tbl>
    <w:p>
      <w:pPr>
        <w:spacing w:line="480" w:lineRule="auto"/>
        <w:ind w:firstLine="480"/>
        <w:rPr>
          <w:rFonts w:hAnsi="宋体"/>
          <w:color w:val="auto"/>
          <w:sz w:val="24"/>
          <w:highlight w:val="none"/>
        </w:rPr>
      </w:pPr>
    </w:p>
    <w:p>
      <w:pPr>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br w:type="page"/>
      </w:r>
    </w:p>
    <w:p>
      <w:pPr>
        <w:pStyle w:val="29"/>
        <w:spacing w:line="360" w:lineRule="auto"/>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附件</w:t>
      </w:r>
      <w:bookmarkEnd w:id="105"/>
      <w:bookmarkEnd w:id="106"/>
      <w:r>
        <w:rPr>
          <w:rFonts w:hint="eastAsia" w:asciiTheme="minorEastAsia" w:hAnsiTheme="minorEastAsia" w:eastAsiaTheme="minorEastAsia" w:cstheme="minorEastAsia"/>
          <w:color w:val="auto"/>
          <w:sz w:val="30"/>
          <w:szCs w:val="30"/>
          <w:highlight w:val="none"/>
        </w:rPr>
        <w:t>：</w:t>
      </w:r>
      <w:bookmarkEnd w:id="107"/>
      <w:bookmarkEnd w:id="108"/>
      <w:bookmarkEnd w:id="112"/>
      <w:bookmarkStart w:id="113" w:name="_Toc4885"/>
      <w:bookmarkStart w:id="114" w:name="_Toc325620735"/>
      <w:bookmarkStart w:id="115" w:name="_Toc323130141"/>
      <w:bookmarkStart w:id="116" w:name="_Toc332979576"/>
      <w:bookmarkStart w:id="117" w:name="_Toc323129574"/>
      <w:r>
        <w:rPr>
          <w:rFonts w:hint="eastAsia" w:asciiTheme="minorEastAsia" w:hAnsiTheme="minorEastAsia" w:eastAsiaTheme="minorEastAsia" w:cstheme="minorEastAsia"/>
          <w:color w:val="auto"/>
          <w:highlight w:val="none"/>
        </w:rPr>
        <w:t>中小企业声明函</w:t>
      </w:r>
      <w:bookmarkEnd w:id="113"/>
    </w:p>
    <w:p>
      <w:pPr>
        <w:widowControl/>
        <w:spacing w:line="360" w:lineRule="auto"/>
        <w:jc w:val="center"/>
        <w:rPr>
          <w:color w:val="auto"/>
          <w:highlight w:val="none"/>
        </w:rPr>
      </w:pPr>
      <w:r>
        <w:rPr>
          <w:rFonts w:hint="eastAsia" w:hAnsi="宋体"/>
          <w:b/>
          <w:bCs/>
          <w:color w:val="auto"/>
          <w:kern w:val="0"/>
          <w:sz w:val="36"/>
          <w:szCs w:val="36"/>
          <w:highlight w:val="none"/>
          <w:lang w:bidi="ar"/>
        </w:rPr>
        <w:t>中小企业声明函</w:t>
      </w:r>
    </w:p>
    <w:p>
      <w:pPr>
        <w:widowControl/>
        <w:spacing w:line="360" w:lineRule="auto"/>
        <w:ind w:firstLine="480" w:firstLineChars="200"/>
        <w:jc w:val="left"/>
        <w:rPr>
          <w:rFonts w:hAnsi="宋体"/>
          <w:color w:val="auto"/>
          <w:sz w:val="24"/>
          <w:szCs w:val="24"/>
          <w:highlight w:val="none"/>
        </w:rPr>
      </w:pPr>
      <w:r>
        <w:rPr>
          <w:rFonts w:hint="eastAsia" w:hAnsi="宋体"/>
          <w:color w:val="auto"/>
          <w:kern w:val="0"/>
          <w:sz w:val="24"/>
          <w:szCs w:val="24"/>
          <w:highlight w:val="none"/>
          <w:lang w:bidi="ar"/>
        </w:rPr>
        <w:t>本公司（联合体）郑重声明，根据《政府采购促进中小企业发展管理办法》（财库﹝2020﹞46 号）的规定，本公司（联合体）参加</w:t>
      </w:r>
      <w:r>
        <w:rPr>
          <w:rFonts w:hint="eastAsia" w:hAnsi="宋体"/>
          <w:i/>
          <w:iCs/>
          <w:color w:val="auto"/>
          <w:kern w:val="0"/>
          <w:sz w:val="24"/>
          <w:szCs w:val="24"/>
          <w:highlight w:val="none"/>
          <w:u w:val="single"/>
          <w:lang w:bidi="ar"/>
        </w:rPr>
        <w:t>（单位名称）</w:t>
      </w:r>
      <w:r>
        <w:rPr>
          <w:rFonts w:hint="eastAsia" w:hAnsi="宋体"/>
          <w:color w:val="auto"/>
          <w:kern w:val="0"/>
          <w:sz w:val="24"/>
          <w:szCs w:val="24"/>
          <w:highlight w:val="none"/>
          <w:lang w:bidi="ar"/>
        </w:rPr>
        <w:t>的</w:t>
      </w:r>
      <w:r>
        <w:rPr>
          <w:rFonts w:hint="eastAsia" w:hAnsi="宋体"/>
          <w:i/>
          <w:iCs/>
          <w:color w:val="auto"/>
          <w:kern w:val="0"/>
          <w:sz w:val="24"/>
          <w:szCs w:val="24"/>
          <w:highlight w:val="none"/>
          <w:u w:val="single"/>
          <w:lang w:bidi="ar"/>
        </w:rPr>
        <w:t>（项目名称）</w:t>
      </w:r>
      <w:r>
        <w:rPr>
          <w:rFonts w:hint="eastAsia" w:hAnsi="宋体"/>
          <w:color w:val="auto"/>
          <w:kern w:val="0"/>
          <w:sz w:val="24"/>
          <w:szCs w:val="24"/>
          <w:highlight w:val="none"/>
          <w:lang w:bidi="ar"/>
        </w:rPr>
        <w:t>采购活动，提供的货物全部由符合政策要求的中小企业制造。相关企业（含联合体中的中小企业、签订分包意向协议的中小企业）的具体情况如下：</w:t>
      </w:r>
    </w:p>
    <w:p>
      <w:pPr>
        <w:widowControl/>
        <w:spacing w:line="360" w:lineRule="auto"/>
        <w:ind w:firstLine="480" w:firstLineChars="200"/>
        <w:jc w:val="left"/>
        <w:rPr>
          <w:rFonts w:hAnsi="宋体"/>
          <w:color w:val="auto"/>
          <w:kern w:val="0"/>
          <w:sz w:val="24"/>
          <w:szCs w:val="24"/>
          <w:highlight w:val="none"/>
          <w:lang w:bidi="ar"/>
        </w:rPr>
      </w:pPr>
      <w:r>
        <w:rPr>
          <w:rFonts w:hint="eastAsia" w:hAnsi="宋体"/>
          <w:color w:val="auto"/>
          <w:kern w:val="0"/>
          <w:sz w:val="24"/>
          <w:szCs w:val="24"/>
          <w:highlight w:val="none"/>
          <w:lang w:bidi="ar"/>
        </w:rPr>
        <w:t xml:space="preserve">1. </w:t>
      </w:r>
      <w:r>
        <w:rPr>
          <w:rFonts w:hint="eastAsia" w:hAnsi="宋体"/>
          <w:color w:val="auto"/>
          <w:kern w:val="0"/>
          <w:sz w:val="24"/>
          <w:szCs w:val="24"/>
          <w:highlight w:val="none"/>
          <w:u w:val="single"/>
          <w:lang w:bidi="ar"/>
        </w:rPr>
        <w:t>（标的名称）</w:t>
      </w:r>
      <w:r>
        <w:rPr>
          <w:rFonts w:hint="eastAsia" w:hAnsi="宋体"/>
          <w:color w:val="auto"/>
          <w:kern w:val="0"/>
          <w:sz w:val="24"/>
          <w:szCs w:val="24"/>
          <w:highlight w:val="none"/>
          <w:lang w:bidi="ar"/>
        </w:rPr>
        <w:t xml:space="preserve"> ，属于</w:t>
      </w:r>
      <w:r>
        <w:rPr>
          <w:rFonts w:hint="eastAsia" w:hAnsi="宋体"/>
          <w:color w:val="auto"/>
          <w:kern w:val="0"/>
          <w:sz w:val="24"/>
          <w:szCs w:val="24"/>
          <w:highlight w:val="none"/>
          <w:u w:val="single"/>
          <w:lang w:bidi="ar"/>
        </w:rPr>
        <w:t>（采购文件中明确的所属行业）</w:t>
      </w:r>
      <w:r>
        <w:rPr>
          <w:rFonts w:hint="eastAsia" w:hAnsi="宋体"/>
          <w:color w:val="auto"/>
          <w:kern w:val="0"/>
          <w:sz w:val="24"/>
          <w:szCs w:val="24"/>
          <w:highlight w:val="none"/>
          <w:lang w:bidi="ar"/>
        </w:rPr>
        <w:t xml:space="preserve">； </w:t>
      </w:r>
    </w:p>
    <w:p>
      <w:pPr>
        <w:widowControl/>
        <w:spacing w:line="360" w:lineRule="auto"/>
        <w:ind w:firstLine="480" w:firstLineChars="200"/>
        <w:jc w:val="left"/>
        <w:rPr>
          <w:rFonts w:hAnsi="宋体"/>
          <w:color w:val="auto"/>
          <w:kern w:val="0"/>
          <w:sz w:val="24"/>
          <w:szCs w:val="24"/>
          <w:highlight w:val="none"/>
          <w:lang w:bidi="ar"/>
        </w:rPr>
      </w:pPr>
      <w:r>
        <w:rPr>
          <w:rFonts w:hint="eastAsia" w:hAnsi="宋体"/>
          <w:color w:val="auto"/>
          <w:kern w:val="0"/>
          <w:sz w:val="24"/>
          <w:szCs w:val="24"/>
          <w:highlight w:val="none"/>
          <w:lang w:bidi="ar"/>
        </w:rPr>
        <w:t>制造商企业为</w:t>
      </w:r>
      <w:r>
        <w:rPr>
          <w:rFonts w:hint="eastAsia" w:hAnsi="宋体"/>
          <w:color w:val="auto"/>
          <w:kern w:val="0"/>
          <w:sz w:val="24"/>
          <w:szCs w:val="24"/>
          <w:highlight w:val="none"/>
          <w:u w:val="single"/>
          <w:lang w:bidi="ar"/>
        </w:rPr>
        <w:t>（企业名称）</w:t>
      </w:r>
      <w:r>
        <w:rPr>
          <w:rFonts w:hint="eastAsia" w:hAnsi="宋体"/>
          <w:color w:val="auto"/>
          <w:kern w:val="0"/>
          <w:sz w:val="24"/>
          <w:szCs w:val="24"/>
          <w:highlight w:val="none"/>
          <w:lang w:bidi="ar"/>
        </w:rPr>
        <w:t>，从业人员</w:t>
      </w:r>
      <w:r>
        <w:rPr>
          <w:rFonts w:hint="eastAsia" w:hAnsi="宋体"/>
          <w:color w:val="auto"/>
          <w:kern w:val="0"/>
          <w:sz w:val="24"/>
          <w:szCs w:val="24"/>
          <w:highlight w:val="none"/>
          <w:u w:val="single"/>
          <w:lang w:bidi="ar"/>
        </w:rPr>
        <w:t xml:space="preserve">    </w:t>
      </w:r>
      <w:r>
        <w:rPr>
          <w:rFonts w:hint="eastAsia" w:hAnsi="宋体"/>
          <w:color w:val="auto"/>
          <w:kern w:val="0"/>
          <w:sz w:val="24"/>
          <w:szCs w:val="24"/>
          <w:highlight w:val="none"/>
          <w:lang w:bidi="ar"/>
        </w:rPr>
        <w:t>人，营业收入为</w:t>
      </w:r>
      <w:r>
        <w:rPr>
          <w:rFonts w:hint="eastAsia" w:hAnsi="宋体"/>
          <w:color w:val="auto"/>
          <w:kern w:val="0"/>
          <w:sz w:val="24"/>
          <w:szCs w:val="24"/>
          <w:highlight w:val="none"/>
          <w:u w:val="single"/>
          <w:lang w:bidi="ar"/>
        </w:rPr>
        <w:t xml:space="preserve">   </w:t>
      </w:r>
      <w:r>
        <w:rPr>
          <w:rFonts w:hint="eastAsia" w:hAnsi="宋体"/>
          <w:color w:val="auto"/>
          <w:kern w:val="0"/>
          <w:sz w:val="24"/>
          <w:szCs w:val="24"/>
          <w:highlight w:val="none"/>
          <w:lang w:bidi="ar"/>
        </w:rPr>
        <w:t>万元，资产总额为</w:t>
      </w:r>
      <w:r>
        <w:rPr>
          <w:rFonts w:hint="eastAsia" w:hAnsi="宋体"/>
          <w:color w:val="auto"/>
          <w:kern w:val="0"/>
          <w:sz w:val="24"/>
          <w:szCs w:val="24"/>
          <w:highlight w:val="none"/>
          <w:u w:val="single"/>
          <w:lang w:bidi="ar"/>
        </w:rPr>
        <w:t xml:space="preserve">   </w:t>
      </w:r>
      <w:r>
        <w:rPr>
          <w:rFonts w:hint="eastAsia" w:hAnsi="宋体"/>
          <w:color w:val="auto"/>
          <w:kern w:val="0"/>
          <w:sz w:val="24"/>
          <w:szCs w:val="24"/>
          <w:highlight w:val="none"/>
          <w:lang w:bidi="ar"/>
        </w:rPr>
        <w:t>万元，属于</w:t>
      </w:r>
      <w:r>
        <w:rPr>
          <w:rFonts w:hint="eastAsia" w:hAnsi="宋体"/>
          <w:color w:val="auto"/>
          <w:kern w:val="0"/>
          <w:sz w:val="24"/>
          <w:szCs w:val="24"/>
          <w:highlight w:val="none"/>
          <w:u w:val="single"/>
          <w:lang w:bidi="ar"/>
        </w:rPr>
        <w:t>（中型企业、小型企业、微型企业）</w:t>
      </w:r>
      <w:r>
        <w:rPr>
          <w:rFonts w:hint="eastAsia" w:hAnsi="宋体"/>
          <w:color w:val="auto"/>
          <w:kern w:val="0"/>
          <w:sz w:val="24"/>
          <w:szCs w:val="24"/>
          <w:highlight w:val="none"/>
          <w:lang w:bidi="ar"/>
        </w:rPr>
        <w:t xml:space="preserve">； </w:t>
      </w:r>
    </w:p>
    <w:p>
      <w:pPr>
        <w:widowControl/>
        <w:spacing w:line="360" w:lineRule="auto"/>
        <w:ind w:firstLine="480" w:firstLineChars="200"/>
        <w:jc w:val="left"/>
        <w:rPr>
          <w:rFonts w:hAnsi="宋体"/>
          <w:color w:val="auto"/>
          <w:kern w:val="0"/>
          <w:sz w:val="24"/>
          <w:szCs w:val="24"/>
          <w:highlight w:val="none"/>
          <w:lang w:bidi="ar"/>
        </w:rPr>
      </w:pPr>
      <w:r>
        <w:rPr>
          <w:rFonts w:hint="eastAsia" w:hAnsi="宋体"/>
          <w:color w:val="auto"/>
          <w:kern w:val="0"/>
          <w:sz w:val="24"/>
          <w:szCs w:val="24"/>
          <w:highlight w:val="none"/>
          <w:lang w:bidi="ar"/>
        </w:rPr>
        <w:t xml:space="preserve">2. </w:t>
      </w:r>
      <w:r>
        <w:rPr>
          <w:rFonts w:hint="eastAsia" w:hAnsi="宋体"/>
          <w:color w:val="auto"/>
          <w:kern w:val="0"/>
          <w:sz w:val="24"/>
          <w:szCs w:val="24"/>
          <w:highlight w:val="none"/>
          <w:u w:val="single"/>
          <w:lang w:bidi="ar"/>
        </w:rPr>
        <w:t>（标的名称）</w:t>
      </w:r>
      <w:r>
        <w:rPr>
          <w:rFonts w:hint="eastAsia" w:hAnsi="宋体"/>
          <w:color w:val="auto"/>
          <w:kern w:val="0"/>
          <w:sz w:val="24"/>
          <w:szCs w:val="24"/>
          <w:highlight w:val="none"/>
          <w:lang w:bidi="ar"/>
        </w:rPr>
        <w:t xml:space="preserve"> ，属于</w:t>
      </w:r>
      <w:r>
        <w:rPr>
          <w:rFonts w:hint="eastAsia" w:hAnsi="宋体"/>
          <w:color w:val="auto"/>
          <w:kern w:val="0"/>
          <w:sz w:val="24"/>
          <w:szCs w:val="24"/>
          <w:highlight w:val="none"/>
          <w:u w:val="single"/>
          <w:lang w:bidi="ar"/>
        </w:rPr>
        <w:t>（采购文件中明确的所属行业）；</w:t>
      </w:r>
      <w:r>
        <w:rPr>
          <w:rFonts w:hint="eastAsia" w:hAnsi="宋体"/>
          <w:color w:val="auto"/>
          <w:kern w:val="0"/>
          <w:sz w:val="24"/>
          <w:szCs w:val="24"/>
          <w:highlight w:val="none"/>
          <w:lang w:bidi="ar"/>
        </w:rPr>
        <w:t xml:space="preserve"> </w:t>
      </w:r>
    </w:p>
    <w:p>
      <w:pPr>
        <w:widowControl/>
        <w:spacing w:line="360" w:lineRule="auto"/>
        <w:ind w:firstLine="480" w:firstLineChars="200"/>
        <w:jc w:val="left"/>
        <w:rPr>
          <w:rFonts w:hAnsi="宋体"/>
          <w:color w:val="auto"/>
          <w:kern w:val="0"/>
          <w:sz w:val="24"/>
          <w:szCs w:val="24"/>
          <w:highlight w:val="none"/>
          <w:lang w:bidi="ar"/>
        </w:rPr>
      </w:pPr>
      <w:r>
        <w:rPr>
          <w:rFonts w:hint="eastAsia" w:hAnsi="宋体"/>
          <w:color w:val="auto"/>
          <w:kern w:val="0"/>
          <w:sz w:val="24"/>
          <w:szCs w:val="24"/>
          <w:highlight w:val="none"/>
          <w:lang w:bidi="ar"/>
        </w:rPr>
        <w:t>制造商为</w:t>
      </w:r>
      <w:r>
        <w:rPr>
          <w:rFonts w:hint="eastAsia" w:hAnsi="宋体"/>
          <w:color w:val="auto"/>
          <w:kern w:val="0"/>
          <w:sz w:val="24"/>
          <w:szCs w:val="24"/>
          <w:highlight w:val="none"/>
          <w:u w:val="single"/>
          <w:lang w:bidi="ar"/>
        </w:rPr>
        <w:t>（企业名称）</w:t>
      </w:r>
      <w:r>
        <w:rPr>
          <w:rFonts w:hint="eastAsia" w:hAnsi="宋体"/>
          <w:color w:val="auto"/>
          <w:kern w:val="0"/>
          <w:sz w:val="24"/>
          <w:szCs w:val="24"/>
          <w:highlight w:val="none"/>
          <w:lang w:bidi="ar"/>
        </w:rPr>
        <w:t>，从业人员</w:t>
      </w:r>
      <w:r>
        <w:rPr>
          <w:rFonts w:hint="eastAsia" w:hAnsi="宋体"/>
          <w:color w:val="auto"/>
          <w:kern w:val="0"/>
          <w:sz w:val="24"/>
          <w:szCs w:val="24"/>
          <w:highlight w:val="none"/>
          <w:u w:val="single"/>
          <w:lang w:bidi="ar"/>
        </w:rPr>
        <w:t xml:space="preserve">    </w:t>
      </w:r>
      <w:r>
        <w:rPr>
          <w:rFonts w:hint="eastAsia" w:hAnsi="宋体"/>
          <w:color w:val="auto"/>
          <w:kern w:val="0"/>
          <w:sz w:val="24"/>
          <w:szCs w:val="24"/>
          <w:highlight w:val="none"/>
          <w:lang w:bidi="ar"/>
        </w:rPr>
        <w:t>人，营业收入为</w:t>
      </w:r>
      <w:r>
        <w:rPr>
          <w:rFonts w:hint="eastAsia" w:hAnsi="宋体"/>
          <w:color w:val="auto"/>
          <w:kern w:val="0"/>
          <w:sz w:val="24"/>
          <w:szCs w:val="24"/>
          <w:highlight w:val="none"/>
          <w:u w:val="single"/>
          <w:lang w:bidi="ar"/>
        </w:rPr>
        <w:t xml:space="preserve">   </w:t>
      </w:r>
      <w:r>
        <w:rPr>
          <w:rFonts w:hint="eastAsia" w:hAnsi="宋体"/>
          <w:color w:val="auto"/>
          <w:kern w:val="0"/>
          <w:sz w:val="24"/>
          <w:szCs w:val="24"/>
          <w:highlight w:val="none"/>
          <w:lang w:bidi="ar"/>
        </w:rPr>
        <w:t>万元，资产总额为</w:t>
      </w:r>
      <w:r>
        <w:rPr>
          <w:rFonts w:hint="eastAsia" w:hAnsi="宋体"/>
          <w:color w:val="auto"/>
          <w:kern w:val="0"/>
          <w:sz w:val="24"/>
          <w:szCs w:val="24"/>
          <w:highlight w:val="none"/>
          <w:u w:val="single"/>
          <w:lang w:bidi="ar"/>
        </w:rPr>
        <w:t xml:space="preserve">   </w:t>
      </w:r>
      <w:r>
        <w:rPr>
          <w:rFonts w:hint="eastAsia" w:hAnsi="宋体"/>
          <w:color w:val="auto"/>
          <w:kern w:val="0"/>
          <w:sz w:val="24"/>
          <w:szCs w:val="24"/>
          <w:highlight w:val="none"/>
          <w:lang w:bidi="ar"/>
        </w:rPr>
        <w:t>万元，属于</w:t>
      </w:r>
      <w:r>
        <w:rPr>
          <w:rFonts w:hint="eastAsia" w:hAnsi="宋体"/>
          <w:color w:val="auto"/>
          <w:kern w:val="0"/>
          <w:sz w:val="24"/>
          <w:szCs w:val="24"/>
          <w:highlight w:val="none"/>
          <w:u w:val="single"/>
          <w:lang w:bidi="ar"/>
        </w:rPr>
        <w:t>（中型企业、小型企业、微型企业）</w:t>
      </w:r>
      <w:r>
        <w:rPr>
          <w:rFonts w:hint="eastAsia" w:hAnsi="宋体"/>
          <w:color w:val="auto"/>
          <w:kern w:val="0"/>
          <w:sz w:val="24"/>
          <w:szCs w:val="24"/>
          <w:highlight w:val="none"/>
          <w:lang w:bidi="ar"/>
        </w:rPr>
        <w:t xml:space="preserve">； </w:t>
      </w:r>
    </w:p>
    <w:p>
      <w:pPr>
        <w:widowControl/>
        <w:spacing w:line="360" w:lineRule="auto"/>
        <w:ind w:firstLine="480" w:firstLineChars="200"/>
        <w:jc w:val="left"/>
        <w:rPr>
          <w:rFonts w:hAnsi="宋体"/>
          <w:color w:val="auto"/>
          <w:kern w:val="0"/>
          <w:sz w:val="24"/>
          <w:szCs w:val="24"/>
          <w:highlight w:val="none"/>
          <w:lang w:bidi="ar"/>
        </w:rPr>
      </w:pPr>
      <w:r>
        <w:rPr>
          <w:rFonts w:hint="eastAsia" w:hAnsi="宋体"/>
          <w:color w:val="auto"/>
          <w:kern w:val="0"/>
          <w:sz w:val="24"/>
          <w:szCs w:val="24"/>
          <w:highlight w:val="none"/>
          <w:lang w:bidi="ar"/>
        </w:rPr>
        <w:t>……</w:t>
      </w:r>
    </w:p>
    <w:p>
      <w:pPr>
        <w:widowControl/>
        <w:spacing w:line="360" w:lineRule="auto"/>
        <w:ind w:firstLine="480" w:firstLineChars="200"/>
        <w:jc w:val="left"/>
        <w:rPr>
          <w:rFonts w:hAnsi="宋体"/>
          <w:color w:val="auto"/>
          <w:kern w:val="0"/>
          <w:sz w:val="24"/>
          <w:szCs w:val="24"/>
          <w:highlight w:val="none"/>
          <w:lang w:bidi="ar"/>
        </w:rPr>
      </w:pPr>
      <w:r>
        <w:rPr>
          <w:rFonts w:hint="eastAsia" w:hAnsi="宋体"/>
          <w:color w:val="auto"/>
          <w:kern w:val="0"/>
          <w:sz w:val="24"/>
          <w:szCs w:val="24"/>
          <w:highlight w:val="none"/>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Ansi="宋体"/>
          <w:color w:val="auto"/>
          <w:kern w:val="0"/>
          <w:sz w:val="24"/>
          <w:szCs w:val="24"/>
          <w:highlight w:val="none"/>
          <w:lang w:bidi="ar"/>
        </w:rPr>
      </w:pPr>
      <w:r>
        <w:rPr>
          <w:rFonts w:hint="eastAsia" w:hAnsi="宋体"/>
          <w:color w:val="auto"/>
          <w:kern w:val="0"/>
          <w:sz w:val="24"/>
          <w:szCs w:val="24"/>
          <w:highlight w:val="none"/>
          <w:lang w:bidi="ar"/>
        </w:rPr>
        <w:t xml:space="preserve">本企业对上述声明内容的真实性负责。如有虚假，将依法承担相应责任。 </w:t>
      </w:r>
    </w:p>
    <w:p>
      <w:pPr>
        <w:widowControl/>
        <w:spacing w:line="360" w:lineRule="auto"/>
        <w:ind w:firstLine="5040" w:firstLineChars="2100"/>
        <w:jc w:val="left"/>
        <w:rPr>
          <w:rFonts w:hAnsi="宋体"/>
          <w:color w:val="auto"/>
          <w:sz w:val="24"/>
          <w:szCs w:val="24"/>
          <w:highlight w:val="none"/>
        </w:rPr>
      </w:pPr>
      <w:r>
        <w:rPr>
          <w:rFonts w:hint="eastAsia" w:hAnsi="宋体"/>
          <w:color w:val="auto"/>
          <w:kern w:val="0"/>
          <w:sz w:val="24"/>
          <w:szCs w:val="24"/>
          <w:highlight w:val="none"/>
          <w:lang w:bidi="ar"/>
        </w:rPr>
        <w:t xml:space="preserve">企业名称（盖章）： </w:t>
      </w:r>
    </w:p>
    <w:p>
      <w:pPr>
        <w:widowControl/>
        <w:spacing w:line="360" w:lineRule="auto"/>
        <w:ind w:firstLine="5520" w:firstLineChars="2300"/>
        <w:jc w:val="left"/>
        <w:rPr>
          <w:rFonts w:hAnsi="宋体"/>
          <w:color w:val="auto"/>
          <w:sz w:val="24"/>
          <w:szCs w:val="24"/>
          <w:highlight w:val="none"/>
        </w:rPr>
      </w:pPr>
      <w:r>
        <w:rPr>
          <w:rFonts w:hint="eastAsia" w:hAnsi="宋体"/>
          <w:color w:val="auto"/>
          <w:kern w:val="0"/>
          <w:sz w:val="24"/>
          <w:szCs w:val="24"/>
          <w:highlight w:val="none"/>
          <w:lang w:bidi="ar"/>
        </w:rPr>
        <w:t xml:space="preserve">日 期： </w:t>
      </w:r>
    </w:p>
    <w:p>
      <w:pPr>
        <w:widowControl/>
        <w:jc w:val="left"/>
        <w:rPr>
          <w:rFonts w:asciiTheme="minorEastAsia" w:hAnsiTheme="minorEastAsia" w:eastAsiaTheme="minorEastAsia" w:cstheme="minorEastAsia"/>
          <w:color w:val="auto"/>
          <w:kern w:val="0"/>
          <w:sz w:val="24"/>
          <w:highlight w:val="none"/>
        </w:rPr>
      </w:pPr>
    </w:p>
    <w:p>
      <w:pPr>
        <w:rPr>
          <w:rFonts w:asciiTheme="minorEastAsia" w:hAnsiTheme="minorEastAsia" w:eastAsiaTheme="minorEastAsia" w:cstheme="minorEastAsia"/>
          <w:color w:val="auto"/>
          <w:highlight w:val="none"/>
        </w:rPr>
      </w:pPr>
      <w:bookmarkStart w:id="118" w:name="_Toc2506"/>
      <w:r>
        <w:rPr>
          <w:rFonts w:hint="eastAsia" w:asciiTheme="minorEastAsia" w:hAnsiTheme="minorEastAsia" w:eastAsiaTheme="minorEastAsia" w:cstheme="minorEastAsia"/>
          <w:color w:val="auto"/>
          <w:highlight w:val="none"/>
        </w:rPr>
        <w:br w:type="page"/>
      </w:r>
    </w:p>
    <w:p>
      <w:pPr>
        <w:pStyle w:val="29"/>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附件：残疾人福利性单位声明函</w:t>
      </w:r>
    </w:p>
    <w:bookmarkEnd w:id="118"/>
    <w:p>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残疾人福利性单位声明函</w:t>
      </w:r>
    </w:p>
    <w:p>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pPr>
        <w:spacing w:line="360" w:lineRule="auto"/>
        <w:ind w:firstLine="480" w:firstLineChars="200"/>
        <w:jc w:val="left"/>
        <w:rPr>
          <w:rFonts w:asciiTheme="minorEastAsia" w:hAnsiTheme="minorEastAsia" w:eastAsiaTheme="minorEastAsia" w:cstheme="minorEastAsia"/>
          <w:color w:val="auto"/>
          <w:sz w:val="24"/>
          <w:highlight w:val="none"/>
        </w:rPr>
      </w:pPr>
    </w:p>
    <w:p>
      <w:pPr>
        <w:spacing w:line="360" w:lineRule="auto"/>
        <w:ind w:firstLine="480" w:firstLineChars="200"/>
        <w:jc w:val="left"/>
        <w:rPr>
          <w:rFonts w:asciiTheme="minorEastAsia" w:hAnsiTheme="minorEastAsia" w:eastAsiaTheme="minorEastAsia" w:cstheme="minorEastAsia"/>
          <w:color w:val="auto"/>
          <w:sz w:val="24"/>
          <w:highlight w:val="none"/>
        </w:rPr>
      </w:pPr>
    </w:p>
    <w:p>
      <w:pPr>
        <w:spacing w:line="360" w:lineRule="auto"/>
        <w:ind w:firstLine="5760" w:firstLineChars="24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单位名称（盖章）：</w:t>
      </w:r>
    </w:p>
    <w:p>
      <w:pPr>
        <w:spacing w:line="360" w:lineRule="auto"/>
        <w:ind w:firstLine="5760" w:firstLineChars="24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p>
      <w:pPr>
        <w:pStyle w:val="29"/>
        <w:rPr>
          <w:rFonts w:asciiTheme="minorEastAsia" w:hAnsiTheme="minorEastAsia" w:eastAsiaTheme="minorEastAsia" w:cstheme="minorEastAsia"/>
          <w:color w:val="auto"/>
          <w:highlight w:val="none"/>
        </w:rPr>
      </w:pPr>
      <w:bookmarkStart w:id="119" w:name="_Toc23920"/>
    </w:p>
    <w:p>
      <w:pPr>
        <w:pStyle w:val="29"/>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附件：节能产品明细表</w:t>
      </w:r>
      <w:bookmarkEnd w:id="119"/>
    </w:p>
    <w:p>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节能产品明细表</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价格单位：元</w:t>
      </w:r>
    </w:p>
    <w:p>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非政府强制采购节能产品</w:t>
      </w:r>
    </w:p>
    <w:tbl>
      <w:tblPr>
        <w:tblStyle w:val="32"/>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8"/>
        <w:gridCol w:w="890"/>
        <w:gridCol w:w="1185"/>
        <w:gridCol w:w="889"/>
        <w:gridCol w:w="889"/>
        <w:gridCol w:w="1383"/>
        <w:gridCol w:w="1578"/>
        <w:gridCol w:w="621"/>
        <w:gridCol w:w="628"/>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8" w:type="dxa"/>
            <w:vMerge w:val="restart"/>
          </w:tcPr>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890" w:type="dxa"/>
            <w:vMerge w:val="restart"/>
          </w:tcPr>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w:t>
            </w: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名称</w:t>
            </w:r>
          </w:p>
        </w:tc>
        <w:tc>
          <w:tcPr>
            <w:tcW w:w="1185" w:type="dxa"/>
            <w:vMerge w:val="restart"/>
          </w:tcPr>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制造商</w:t>
            </w:r>
          </w:p>
        </w:tc>
        <w:tc>
          <w:tcPr>
            <w:tcW w:w="889" w:type="dxa"/>
            <w:vMerge w:val="restart"/>
          </w:tcPr>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品牌</w:t>
            </w:r>
          </w:p>
        </w:tc>
        <w:tc>
          <w:tcPr>
            <w:tcW w:w="889" w:type="dxa"/>
            <w:vMerge w:val="restart"/>
          </w:tcPr>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w:t>
            </w: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型号</w:t>
            </w:r>
          </w:p>
        </w:tc>
        <w:tc>
          <w:tcPr>
            <w:tcW w:w="1383" w:type="dxa"/>
            <w:vMerge w:val="restart"/>
          </w:tcPr>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节能标志认证证书号</w:t>
            </w:r>
          </w:p>
        </w:tc>
        <w:tc>
          <w:tcPr>
            <w:tcW w:w="1578" w:type="dxa"/>
            <w:vMerge w:val="restart"/>
          </w:tcPr>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节能产品认证证书有效截止日期</w:t>
            </w:r>
          </w:p>
        </w:tc>
        <w:tc>
          <w:tcPr>
            <w:tcW w:w="1705" w:type="dxa"/>
            <w:gridSpan w:val="3"/>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8" w:type="dxa"/>
            <w:vMerge w:val="continue"/>
            <w:vAlign w:val="center"/>
          </w:tcPr>
          <w:p>
            <w:pPr>
              <w:jc w:val="center"/>
              <w:rPr>
                <w:rFonts w:asciiTheme="minorEastAsia" w:hAnsiTheme="minorEastAsia" w:eastAsiaTheme="minorEastAsia" w:cstheme="minorEastAsia"/>
                <w:color w:val="auto"/>
                <w:sz w:val="24"/>
                <w:highlight w:val="none"/>
              </w:rPr>
            </w:pPr>
          </w:p>
        </w:tc>
        <w:tc>
          <w:tcPr>
            <w:tcW w:w="890" w:type="dxa"/>
            <w:vMerge w:val="continue"/>
            <w:vAlign w:val="center"/>
          </w:tcPr>
          <w:p>
            <w:pPr>
              <w:jc w:val="center"/>
              <w:rPr>
                <w:rFonts w:asciiTheme="minorEastAsia" w:hAnsiTheme="minorEastAsia" w:eastAsiaTheme="minorEastAsia" w:cstheme="minorEastAsia"/>
                <w:color w:val="auto"/>
                <w:sz w:val="24"/>
                <w:highlight w:val="none"/>
              </w:rPr>
            </w:pPr>
          </w:p>
        </w:tc>
        <w:tc>
          <w:tcPr>
            <w:tcW w:w="1185" w:type="dxa"/>
            <w:vMerge w:val="continue"/>
            <w:vAlign w:val="center"/>
          </w:tcPr>
          <w:p>
            <w:pPr>
              <w:jc w:val="center"/>
              <w:rPr>
                <w:rFonts w:asciiTheme="minorEastAsia" w:hAnsiTheme="minorEastAsia" w:eastAsiaTheme="minorEastAsia" w:cstheme="minorEastAsia"/>
                <w:color w:val="auto"/>
                <w:sz w:val="24"/>
                <w:highlight w:val="none"/>
              </w:rPr>
            </w:pPr>
          </w:p>
        </w:tc>
        <w:tc>
          <w:tcPr>
            <w:tcW w:w="889" w:type="dxa"/>
            <w:vMerge w:val="continue"/>
            <w:vAlign w:val="center"/>
          </w:tcPr>
          <w:p>
            <w:pPr>
              <w:jc w:val="center"/>
              <w:rPr>
                <w:rFonts w:asciiTheme="minorEastAsia" w:hAnsiTheme="minorEastAsia" w:eastAsiaTheme="minorEastAsia" w:cstheme="minorEastAsia"/>
                <w:color w:val="auto"/>
                <w:sz w:val="24"/>
                <w:highlight w:val="none"/>
              </w:rPr>
            </w:pPr>
          </w:p>
        </w:tc>
        <w:tc>
          <w:tcPr>
            <w:tcW w:w="889" w:type="dxa"/>
            <w:vMerge w:val="continue"/>
            <w:vAlign w:val="center"/>
          </w:tcPr>
          <w:p>
            <w:pPr>
              <w:jc w:val="center"/>
              <w:rPr>
                <w:rFonts w:asciiTheme="minorEastAsia" w:hAnsiTheme="minorEastAsia" w:eastAsiaTheme="minorEastAsia" w:cstheme="minorEastAsia"/>
                <w:color w:val="auto"/>
                <w:sz w:val="24"/>
                <w:highlight w:val="none"/>
              </w:rPr>
            </w:pPr>
          </w:p>
        </w:tc>
        <w:tc>
          <w:tcPr>
            <w:tcW w:w="1383" w:type="dxa"/>
            <w:vMerge w:val="continue"/>
            <w:vAlign w:val="center"/>
          </w:tcPr>
          <w:p>
            <w:pPr>
              <w:jc w:val="center"/>
              <w:rPr>
                <w:rFonts w:asciiTheme="minorEastAsia" w:hAnsiTheme="minorEastAsia" w:eastAsiaTheme="minorEastAsia" w:cstheme="minorEastAsia"/>
                <w:color w:val="auto"/>
                <w:sz w:val="24"/>
                <w:highlight w:val="none"/>
              </w:rPr>
            </w:pPr>
          </w:p>
        </w:tc>
        <w:tc>
          <w:tcPr>
            <w:tcW w:w="1578" w:type="dxa"/>
            <w:vMerge w:val="continue"/>
            <w:vAlign w:val="center"/>
          </w:tcPr>
          <w:p>
            <w:pPr>
              <w:jc w:val="center"/>
              <w:rPr>
                <w:rFonts w:asciiTheme="minorEastAsia" w:hAnsiTheme="minorEastAsia" w:eastAsiaTheme="minorEastAsia" w:cstheme="minorEastAsia"/>
                <w:color w:val="auto"/>
                <w:sz w:val="24"/>
                <w:highlight w:val="none"/>
              </w:rPr>
            </w:pPr>
          </w:p>
        </w:tc>
        <w:tc>
          <w:tcPr>
            <w:tcW w:w="621"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单价</w:t>
            </w:r>
          </w:p>
        </w:tc>
        <w:tc>
          <w:tcPr>
            <w:tcW w:w="628"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456"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358" w:type="dxa"/>
          </w:tcPr>
          <w:p>
            <w:pPr>
              <w:rPr>
                <w:rFonts w:asciiTheme="minorEastAsia" w:hAnsiTheme="minorEastAsia" w:eastAsiaTheme="minorEastAsia" w:cstheme="minorEastAsia"/>
                <w:color w:val="auto"/>
                <w:sz w:val="24"/>
                <w:highlight w:val="none"/>
              </w:rPr>
            </w:pPr>
          </w:p>
        </w:tc>
        <w:tc>
          <w:tcPr>
            <w:tcW w:w="890" w:type="dxa"/>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185" w:type="dxa"/>
          </w:tcPr>
          <w:p>
            <w:pPr>
              <w:jc w:val="center"/>
              <w:rPr>
                <w:rFonts w:asciiTheme="minorEastAsia" w:hAnsiTheme="minorEastAsia" w:eastAsiaTheme="minorEastAsia" w:cstheme="minorEastAsia"/>
                <w:color w:val="auto"/>
                <w:sz w:val="24"/>
                <w:highlight w:val="none"/>
              </w:rPr>
            </w:pPr>
          </w:p>
        </w:tc>
        <w:tc>
          <w:tcPr>
            <w:tcW w:w="889" w:type="dxa"/>
          </w:tcPr>
          <w:p>
            <w:pPr>
              <w:jc w:val="center"/>
              <w:rPr>
                <w:rFonts w:asciiTheme="minorEastAsia" w:hAnsiTheme="minorEastAsia" w:eastAsiaTheme="minorEastAsia" w:cstheme="minorEastAsia"/>
                <w:color w:val="auto"/>
                <w:sz w:val="24"/>
                <w:highlight w:val="none"/>
              </w:rPr>
            </w:pPr>
          </w:p>
        </w:tc>
        <w:tc>
          <w:tcPr>
            <w:tcW w:w="889" w:type="dxa"/>
          </w:tcPr>
          <w:p>
            <w:pPr>
              <w:jc w:val="center"/>
              <w:rPr>
                <w:rFonts w:asciiTheme="minorEastAsia" w:hAnsiTheme="minorEastAsia" w:eastAsiaTheme="minorEastAsia" w:cstheme="minorEastAsia"/>
                <w:color w:val="auto"/>
                <w:sz w:val="24"/>
                <w:highlight w:val="none"/>
              </w:rPr>
            </w:pPr>
          </w:p>
        </w:tc>
        <w:tc>
          <w:tcPr>
            <w:tcW w:w="1383" w:type="dxa"/>
          </w:tcPr>
          <w:p>
            <w:pPr>
              <w:jc w:val="center"/>
              <w:rPr>
                <w:rFonts w:asciiTheme="minorEastAsia" w:hAnsiTheme="minorEastAsia" w:eastAsiaTheme="minorEastAsia" w:cstheme="minorEastAsia"/>
                <w:color w:val="auto"/>
                <w:sz w:val="24"/>
                <w:highlight w:val="none"/>
              </w:rPr>
            </w:pPr>
          </w:p>
        </w:tc>
        <w:tc>
          <w:tcPr>
            <w:tcW w:w="1578" w:type="dxa"/>
          </w:tcPr>
          <w:p>
            <w:pPr>
              <w:jc w:val="center"/>
              <w:rPr>
                <w:rFonts w:asciiTheme="minorEastAsia" w:hAnsiTheme="minorEastAsia" w:eastAsiaTheme="minorEastAsia" w:cstheme="minorEastAsia"/>
                <w:color w:val="auto"/>
                <w:sz w:val="24"/>
                <w:highlight w:val="none"/>
              </w:rPr>
            </w:pPr>
          </w:p>
        </w:tc>
        <w:tc>
          <w:tcPr>
            <w:tcW w:w="621" w:type="dxa"/>
          </w:tcPr>
          <w:p>
            <w:pPr>
              <w:jc w:val="center"/>
              <w:rPr>
                <w:rFonts w:asciiTheme="minorEastAsia" w:hAnsiTheme="minorEastAsia" w:eastAsiaTheme="minorEastAsia" w:cstheme="minorEastAsia"/>
                <w:color w:val="auto"/>
                <w:sz w:val="24"/>
                <w:highlight w:val="none"/>
              </w:rPr>
            </w:pPr>
          </w:p>
        </w:tc>
        <w:tc>
          <w:tcPr>
            <w:tcW w:w="628" w:type="dxa"/>
          </w:tcPr>
          <w:p>
            <w:pPr>
              <w:jc w:val="center"/>
              <w:rPr>
                <w:rFonts w:asciiTheme="minorEastAsia" w:hAnsiTheme="minorEastAsia" w:eastAsiaTheme="minorEastAsia" w:cstheme="minorEastAsia"/>
                <w:color w:val="auto"/>
                <w:sz w:val="24"/>
                <w:highlight w:val="none"/>
              </w:rPr>
            </w:pPr>
          </w:p>
        </w:tc>
        <w:tc>
          <w:tcPr>
            <w:tcW w:w="456" w:type="dxa"/>
          </w:tcPr>
          <w:p>
            <w:pPr>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trPr>
        <w:tc>
          <w:tcPr>
            <w:tcW w:w="358" w:type="dxa"/>
          </w:tcPr>
          <w:p>
            <w:pPr>
              <w:rPr>
                <w:rFonts w:asciiTheme="minorEastAsia" w:hAnsiTheme="minorEastAsia" w:eastAsiaTheme="minorEastAsia" w:cstheme="minorEastAsia"/>
                <w:color w:val="auto"/>
                <w:sz w:val="24"/>
                <w:highlight w:val="none"/>
              </w:rPr>
            </w:pPr>
          </w:p>
        </w:tc>
        <w:tc>
          <w:tcPr>
            <w:tcW w:w="890"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1185" w:type="dxa"/>
          </w:tcPr>
          <w:p>
            <w:pPr>
              <w:jc w:val="center"/>
              <w:rPr>
                <w:rFonts w:asciiTheme="minorEastAsia" w:hAnsiTheme="minorEastAsia" w:eastAsiaTheme="minorEastAsia" w:cstheme="minorEastAsia"/>
                <w:color w:val="auto"/>
                <w:sz w:val="24"/>
                <w:highlight w:val="none"/>
              </w:rPr>
            </w:pPr>
          </w:p>
        </w:tc>
        <w:tc>
          <w:tcPr>
            <w:tcW w:w="889" w:type="dxa"/>
          </w:tcPr>
          <w:p>
            <w:pPr>
              <w:jc w:val="center"/>
              <w:rPr>
                <w:rFonts w:asciiTheme="minorEastAsia" w:hAnsiTheme="minorEastAsia" w:eastAsiaTheme="minorEastAsia" w:cstheme="minorEastAsia"/>
                <w:color w:val="auto"/>
                <w:sz w:val="24"/>
                <w:highlight w:val="none"/>
              </w:rPr>
            </w:pPr>
          </w:p>
        </w:tc>
        <w:tc>
          <w:tcPr>
            <w:tcW w:w="889" w:type="dxa"/>
          </w:tcPr>
          <w:p>
            <w:pPr>
              <w:jc w:val="center"/>
              <w:rPr>
                <w:rFonts w:asciiTheme="minorEastAsia" w:hAnsiTheme="minorEastAsia" w:eastAsiaTheme="minorEastAsia" w:cstheme="minorEastAsia"/>
                <w:color w:val="auto"/>
                <w:sz w:val="24"/>
                <w:highlight w:val="none"/>
              </w:rPr>
            </w:pPr>
          </w:p>
        </w:tc>
        <w:tc>
          <w:tcPr>
            <w:tcW w:w="1383" w:type="dxa"/>
          </w:tcPr>
          <w:p>
            <w:pPr>
              <w:jc w:val="center"/>
              <w:rPr>
                <w:rFonts w:asciiTheme="minorEastAsia" w:hAnsiTheme="minorEastAsia" w:eastAsiaTheme="minorEastAsia" w:cstheme="minorEastAsia"/>
                <w:color w:val="auto"/>
                <w:sz w:val="24"/>
                <w:highlight w:val="none"/>
              </w:rPr>
            </w:pPr>
          </w:p>
        </w:tc>
        <w:tc>
          <w:tcPr>
            <w:tcW w:w="1578" w:type="dxa"/>
          </w:tcPr>
          <w:p>
            <w:pPr>
              <w:jc w:val="center"/>
              <w:rPr>
                <w:rFonts w:asciiTheme="minorEastAsia" w:hAnsiTheme="minorEastAsia" w:eastAsiaTheme="minorEastAsia" w:cstheme="minorEastAsia"/>
                <w:color w:val="auto"/>
                <w:sz w:val="24"/>
                <w:highlight w:val="none"/>
              </w:rPr>
            </w:pPr>
          </w:p>
        </w:tc>
        <w:tc>
          <w:tcPr>
            <w:tcW w:w="621" w:type="dxa"/>
          </w:tcPr>
          <w:p>
            <w:pPr>
              <w:jc w:val="center"/>
              <w:rPr>
                <w:rFonts w:asciiTheme="minorEastAsia" w:hAnsiTheme="minorEastAsia" w:eastAsiaTheme="minorEastAsia" w:cstheme="minorEastAsia"/>
                <w:color w:val="auto"/>
                <w:sz w:val="24"/>
                <w:highlight w:val="none"/>
              </w:rPr>
            </w:pPr>
          </w:p>
        </w:tc>
        <w:tc>
          <w:tcPr>
            <w:tcW w:w="628" w:type="dxa"/>
          </w:tcPr>
          <w:p>
            <w:pPr>
              <w:jc w:val="center"/>
              <w:rPr>
                <w:rFonts w:asciiTheme="minorEastAsia" w:hAnsiTheme="minorEastAsia" w:eastAsiaTheme="minorEastAsia" w:cstheme="minorEastAsia"/>
                <w:color w:val="auto"/>
                <w:sz w:val="24"/>
                <w:highlight w:val="none"/>
              </w:rPr>
            </w:pPr>
          </w:p>
        </w:tc>
        <w:tc>
          <w:tcPr>
            <w:tcW w:w="456" w:type="dxa"/>
          </w:tcPr>
          <w:p>
            <w:pPr>
              <w:jc w:val="center"/>
              <w:rPr>
                <w:rFonts w:asciiTheme="minorEastAsia" w:hAnsiTheme="minorEastAsia" w:eastAsiaTheme="minorEastAsia" w:cstheme="minorEastAsia"/>
                <w:color w:val="auto"/>
                <w:sz w:val="24"/>
                <w:highlight w:val="none"/>
              </w:rPr>
            </w:pPr>
          </w:p>
        </w:tc>
      </w:tr>
    </w:tbl>
    <w:p>
      <w:pPr>
        <w:jc w:val="center"/>
        <w:rPr>
          <w:rFonts w:asciiTheme="minorEastAsia" w:hAnsiTheme="minorEastAsia" w:eastAsiaTheme="minorEastAsia" w:cstheme="minorEastAsia"/>
          <w:color w:val="auto"/>
          <w:sz w:val="24"/>
          <w:highlight w:val="none"/>
        </w:rPr>
      </w:pPr>
    </w:p>
    <w:p>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政府强制采购节能产品</w:t>
      </w:r>
    </w:p>
    <w:tbl>
      <w:tblPr>
        <w:tblStyle w:val="32"/>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8"/>
        <w:gridCol w:w="890"/>
        <w:gridCol w:w="1185"/>
        <w:gridCol w:w="889"/>
        <w:gridCol w:w="889"/>
        <w:gridCol w:w="1383"/>
        <w:gridCol w:w="1578"/>
        <w:gridCol w:w="621"/>
        <w:gridCol w:w="628"/>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8" w:type="dxa"/>
            <w:vMerge w:val="restart"/>
          </w:tcPr>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890" w:type="dxa"/>
            <w:vMerge w:val="restart"/>
          </w:tcPr>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w:t>
            </w: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名称</w:t>
            </w:r>
          </w:p>
        </w:tc>
        <w:tc>
          <w:tcPr>
            <w:tcW w:w="1185" w:type="dxa"/>
            <w:vMerge w:val="restart"/>
          </w:tcPr>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制造商</w:t>
            </w:r>
          </w:p>
        </w:tc>
        <w:tc>
          <w:tcPr>
            <w:tcW w:w="889" w:type="dxa"/>
            <w:vMerge w:val="restart"/>
          </w:tcPr>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品牌</w:t>
            </w:r>
          </w:p>
        </w:tc>
        <w:tc>
          <w:tcPr>
            <w:tcW w:w="889" w:type="dxa"/>
            <w:vMerge w:val="restart"/>
          </w:tcPr>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产品</w:t>
            </w: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型号</w:t>
            </w:r>
          </w:p>
        </w:tc>
        <w:tc>
          <w:tcPr>
            <w:tcW w:w="1383" w:type="dxa"/>
            <w:vMerge w:val="restart"/>
          </w:tcPr>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节能标志认证证书号</w:t>
            </w:r>
          </w:p>
        </w:tc>
        <w:tc>
          <w:tcPr>
            <w:tcW w:w="1578" w:type="dxa"/>
            <w:vMerge w:val="restart"/>
          </w:tcPr>
          <w:p>
            <w:pPr>
              <w:jc w:val="center"/>
              <w:rPr>
                <w:rFonts w:asciiTheme="minorEastAsia" w:hAnsiTheme="minorEastAsia" w:eastAsiaTheme="minorEastAsia" w:cstheme="minorEastAsia"/>
                <w:color w:val="auto"/>
                <w:sz w:val="24"/>
                <w:highlight w:val="none"/>
              </w:rPr>
            </w:pP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节能产品认证证书有效截止日期</w:t>
            </w:r>
          </w:p>
        </w:tc>
        <w:tc>
          <w:tcPr>
            <w:tcW w:w="1705" w:type="dxa"/>
            <w:gridSpan w:val="3"/>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8" w:type="dxa"/>
            <w:vMerge w:val="continue"/>
            <w:vAlign w:val="center"/>
          </w:tcPr>
          <w:p>
            <w:pPr>
              <w:jc w:val="center"/>
              <w:rPr>
                <w:rFonts w:asciiTheme="minorEastAsia" w:hAnsiTheme="minorEastAsia" w:eastAsiaTheme="minorEastAsia" w:cstheme="minorEastAsia"/>
                <w:color w:val="auto"/>
                <w:sz w:val="24"/>
                <w:highlight w:val="none"/>
              </w:rPr>
            </w:pPr>
          </w:p>
        </w:tc>
        <w:tc>
          <w:tcPr>
            <w:tcW w:w="890" w:type="dxa"/>
            <w:vMerge w:val="continue"/>
            <w:vAlign w:val="center"/>
          </w:tcPr>
          <w:p>
            <w:pPr>
              <w:jc w:val="center"/>
              <w:rPr>
                <w:rFonts w:asciiTheme="minorEastAsia" w:hAnsiTheme="minorEastAsia" w:eastAsiaTheme="minorEastAsia" w:cstheme="minorEastAsia"/>
                <w:color w:val="auto"/>
                <w:sz w:val="24"/>
                <w:highlight w:val="none"/>
              </w:rPr>
            </w:pPr>
          </w:p>
        </w:tc>
        <w:tc>
          <w:tcPr>
            <w:tcW w:w="1185" w:type="dxa"/>
            <w:vMerge w:val="continue"/>
            <w:vAlign w:val="center"/>
          </w:tcPr>
          <w:p>
            <w:pPr>
              <w:jc w:val="center"/>
              <w:rPr>
                <w:rFonts w:asciiTheme="minorEastAsia" w:hAnsiTheme="minorEastAsia" w:eastAsiaTheme="minorEastAsia" w:cstheme="minorEastAsia"/>
                <w:color w:val="auto"/>
                <w:sz w:val="24"/>
                <w:highlight w:val="none"/>
              </w:rPr>
            </w:pPr>
          </w:p>
        </w:tc>
        <w:tc>
          <w:tcPr>
            <w:tcW w:w="889" w:type="dxa"/>
            <w:vMerge w:val="continue"/>
            <w:vAlign w:val="center"/>
          </w:tcPr>
          <w:p>
            <w:pPr>
              <w:jc w:val="center"/>
              <w:rPr>
                <w:rFonts w:asciiTheme="minorEastAsia" w:hAnsiTheme="minorEastAsia" w:eastAsiaTheme="minorEastAsia" w:cstheme="minorEastAsia"/>
                <w:color w:val="auto"/>
                <w:sz w:val="24"/>
                <w:highlight w:val="none"/>
              </w:rPr>
            </w:pPr>
          </w:p>
        </w:tc>
        <w:tc>
          <w:tcPr>
            <w:tcW w:w="889" w:type="dxa"/>
            <w:vMerge w:val="continue"/>
            <w:vAlign w:val="center"/>
          </w:tcPr>
          <w:p>
            <w:pPr>
              <w:jc w:val="center"/>
              <w:rPr>
                <w:rFonts w:asciiTheme="minorEastAsia" w:hAnsiTheme="minorEastAsia" w:eastAsiaTheme="minorEastAsia" w:cstheme="minorEastAsia"/>
                <w:color w:val="auto"/>
                <w:sz w:val="24"/>
                <w:highlight w:val="none"/>
              </w:rPr>
            </w:pPr>
          </w:p>
        </w:tc>
        <w:tc>
          <w:tcPr>
            <w:tcW w:w="1383" w:type="dxa"/>
            <w:vMerge w:val="continue"/>
            <w:vAlign w:val="center"/>
          </w:tcPr>
          <w:p>
            <w:pPr>
              <w:jc w:val="center"/>
              <w:rPr>
                <w:rFonts w:asciiTheme="minorEastAsia" w:hAnsiTheme="minorEastAsia" w:eastAsiaTheme="minorEastAsia" w:cstheme="minorEastAsia"/>
                <w:color w:val="auto"/>
                <w:sz w:val="24"/>
                <w:highlight w:val="none"/>
              </w:rPr>
            </w:pPr>
          </w:p>
        </w:tc>
        <w:tc>
          <w:tcPr>
            <w:tcW w:w="1578" w:type="dxa"/>
            <w:vMerge w:val="continue"/>
            <w:vAlign w:val="center"/>
          </w:tcPr>
          <w:p>
            <w:pPr>
              <w:jc w:val="center"/>
              <w:rPr>
                <w:rFonts w:asciiTheme="minorEastAsia" w:hAnsiTheme="minorEastAsia" w:eastAsiaTheme="minorEastAsia" w:cstheme="minorEastAsia"/>
                <w:color w:val="auto"/>
                <w:sz w:val="24"/>
                <w:highlight w:val="none"/>
              </w:rPr>
            </w:pPr>
          </w:p>
        </w:tc>
        <w:tc>
          <w:tcPr>
            <w:tcW w:w="621"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单价</w:t>
            </w:r>
          </w:p>
        </w:tc>
        <w:tc>
          <w:tcPr>
            <w:tcW w:w="628"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456"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358" w:type="dxa"/>
          </w:tcPr>
          <w:p>
            <w:pPr>
              <w:jc w:val="center"/>
              <w:rPr>
                <w:rFonts w:asciiTheme="minorEastAsia" w:hAnsiTheme="minorEastAsia" w:eastAsiaTheme="minorEastAsia" w:cstheme="minorEastAsia"/>
                <w:color w:val="auto"/>
                <w:sz w:val="24"/>
                <w:highlight w:val="none"/>
              </w:rPr>
            </w:pPr>
          </w:p>
        </w:tc>
        <w:tc>
          <w:tcPr>
            <w:tcW w:w="890" w:type="dxa"/>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185" w:type="dxa"/>
          </w:tcPr>
          <w:p>
            <w:pPr>
              <w:jc w:val="center"/>
              <w:rPr>
                <w:rFonts w:asciiTheme="minorEastAsia" w:hAnsiTheme="minorEastAsia" w:eastAsiaTheme="minorEastAsia" w:cstheme="minorEastAsia"/>
                <w:color w:val="auto"/>
                <w:sz w:val="24"/>
                <w:highlight w:val="none"/>
              </w:rPr>
            </w:pPr>
          </w:p>
        </w:tc>
        <w:tc>
          <w:tcPr>
            <w:tcW w:w="889" w:type="dxa"/>
          </w:tcPr>
          <w:p>
            <w:pPr>
              <w:jc w:val="center"/>
              <w:rPr>
                <w:rFonts w:asciiTheme="minorEastAsia" w:hAnsiTheme="minorEastAsia" w:eastAsiaTheme="minorEastAsia" w:cstheme="minorEastAsia"/>
                <w:color w:val="auto"/>
                <w:sz w:val="24"/>
                <w:highlight w:val="none"/>
              </w:rPr>
            </w:pPr>
          </w:p>
        </w:tc>
        <w:tc>
          <w:tcPr>
            <w:tcW w:w="889" w:type="dxa"/>
          </w:tcPr>
          <w:p>
            <w:pPr>
              <w:jc w:val="center"/>
              <w:rPr>
                <w:rFonts w:asciiTheme="minorEastAsia" w:hAnsiTheme="minorEastAsia" w:eastAsiaTheme="minorEastAsia" w:cstheme="minorEastAsia"/>
                <w:color w:val="auto"/>
                <w:sz w:val="24"/>
                <w:highlight w:val="none"/>
              </w:rPr>
            </w:pPr>
          </w:p>
        </w:tc>
        <w:tc>
          <w:tcPr>
            <w:tcW w:w="1383" w:type="dxa"/>
          </w:tcPr>
          <w:p>
            <w:pPr>
              <w:jc w:val="center"/>
              <w:rPr>
                <w:rFonts w:asciiTheme="minorEastAsia" w:hAnsiTheme="minorEastAsia" w:eastAsiaTheme="minorEastAsia" w:cstheme="minorEastAsia"/>
                <w:color w:val="auto"/>
                <w:sz w:val="24"/>
                <w:highlight w:val="none"/>
              </w:rPr>
            </w:pPr>
          </w:p>
        </w:tc>
        <w:tc>
          <w:tcPr>
            <w:tcW w:w="1578" w:type="dxa"/>
          </w:tcPr>
          <w:p>
            <w:pPr>
              <w:jc w:val="center"/>
              <w:rPr>
                <w:rFonts w:asciiTheme="minorEastAsia" w:hAnsiTheme="minorEastAsia" w:eastAsiaTheme="minorEastAsia" w:cstheme="minorEastAsia"/>
                <w:color w:val="auto"/>
                <w:sz w:val="24"/>
                <w:highlight w:val="none"/>
              </w:rPr>
            </w:pPr>
          </w:p>
        </w:tc>
        <w:tc>
          <w:tcPr>
            <w:tcW w:w="621" w:type="dxa"/>
          </w:tcPr>
          <w:p>
            <w:pPr>
              <w:jc w:val="center"/>
              <w:rPr>
                <w:rFonts w:asciiTheme="minorEastAsia" w:hAnsiTheme="minorEastAsia" w:eastAsiaTheme="minorEastAsia" w:cstheme="minorEastAsia"/>
                <w:color w:val="auto"/>
                <w:sz w:val="24"/>
                <w:highlight w:val="none"/>
              </w:rPr>
            </w:pPr>
          </w:p>
        </w:tc>
        <w:tc>
          <w:tcPr>
            <w:tcW w:w="628" w:type="dxa"/>
          </w:tcPr>
          <w:p>
            <w:pPr>
              <w:jc w:val="center"/>
              <w:rPr>
                <w:rFonts w:asciiTheme="minorEastAsia" w:hAnsiTheme="minorEastAsia" w:eastAsiaTheme="minorEastAsia" w:cstheme="minorEastAsia"/>
                <w:color w:val="auto"/>
                <w:sz w:val="24"/>
                <w:highlight w:val="none"/>
              </w:rPr>
            </w:pPr>
          </w:p>
        </w:tc>
        <w:tc>
          <w:tcPr>
            <w:tcW w:w="456" w:type="dxa"/>
          </w:tcPr>
          <w:p>
            <w:pPr>
              <w:jc w:val="center"/>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trPr>
        <w:tc>
          <w:tcPr>
            <w:tcW w:w="358" w:type="dxa"/>
          </w:tcPr>
          <w:p>
            <w:pPr>
              <w:jc w:val="center"/>
              <w:rPr>
                <w:rFonts w:asciiTheme="minorEastAsia" w:hAnsiTheme="minorEastAsia" w:eastAsiaTheme="minorEastAsia" w:cstheme="minorEastAsia"/>
                <w:color w:val="auto"/>
                <w:sz w:val="24"/>
                <w:highlight w:val="none"/>
              </w:rPr>
            </w:pPr>
          </w:p>
        </w:tc>
        <w:tc>
          <w:tcPr>
            <w:tcW w:w="890" w:type="dxa"/>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w:t>
            </w:r>
          </w:p>
        </w:tc>
        <w:tc>
          <w:tcPr>
            <w:tcW w:w="1185" w:type="dxa"/>
          </w:tcPr>
          <w:p>
            <w:pPr>
              <w:jc w:val="center"/>
              <w:rPr>
                <w:rFonts w:asciiTheme="minorEastAsia" w:hAnsiTheme="minorEastAsia" w:eastAsiaTheme="minorEastAsia" w:cstheme="minorEastAsia"/>
                <w:color w:val="auto"/>
                <w:sz w:val="24"/>
                <w:highlight w:val="none"/>
              </w:rPr>
            </w:pPr>
          </w:p>
        </w:tc>
        <w:tc>
          <w:tcPr>
            <w:tcW w:w="889" w:type="dxa"/>
          </w:tcPr>
          <w:p>
            <w:pPr>
              <w:jc w:val="center"/>
              <w:rPr>
                <w:rFonts w:asciiTheme="minorEastAsia" w:hAnsiTheme="minorEastAsia" w:eastAsiaTheme="minorEastAsia" w:cstheme="minorEastAsia"/>
                <w:color w:val="auto"/>
                <w:sz w:val="24"/>
                <w:highlight w:val="none"/>
              </w:rPr>
            </w:pPr>
          </w:p>
        </w:tc>
        <w:tc>
          <w:tcPr>
            <w:tcW w:w="889" w:type="dxa"/>
          </w:tcPr>
          <w:p>
            <w:pPr>
              <w:jc w:val="center"/>
              <w:rPr>
                <w:rFonts w:asciiTheme="minorEastAsia" w:hAnsiTheme="minorEastAsia" w:eastAsiaTheme="minorEastAsia" w:cstheme="minorEastAsia"/>
                <w:color w:val="auto"/>
                <w:sz w:val="24"/>
                <w:highlight w:val="none"/>
              </w:rPr>
            </w:pPr>
          </w:p>
        </w:tc>
        <w:tc>
          <w:tcPr>
            <w:tcW w:w="1383" w:type="dxa"/>
          </w:tcPr>
          <w:p>
            <w:pPr>
              <w:jc w:val="center"/>
              <w:rPr>
                <w:rFonts w:asciiTheme="minorEastAsia" w:hAnsiTheme="minorEastAsia" w:eastAsiaTheme="minorEastAsia" w:cstheme="minorEastAsia"/>
                <w:color w:val="auto"/>
                <w:sz w:val="24"/>
                <w:highlight w:val="none"/>
              </w:rPr>
            </w:pPr>
          </w:p>
        </w:tc>
        <w:tc>
          <w:tcPr>
            <w:tcW w:w="1578" w:type="dxa"/>
          </w:tcPr>
          <w:p>
            <w:pPr>
              <w:jc w:val="center"/>
              <w:rPr>
                <w:rFonts w:asciiTheme="minorEastAsia" w:hAnsiTheme="minorEastAsia" w:eastAsiaTheme="minorEastAsia" w:cstheme="minorEastAsia"/>
                <w:color w:val="auto"/>
                <w:sz w:val="24"/>
                <w:highlight w:val="none"/>
              </w:rPr>
            </w:pPr>
          </w:p>
        </w:tc>
        <w:tc>
          <w:tcPr>
            <w:tcW w:w="621" w:type="dxa"/>
          </w:tcPr>
          <w:p>
            <w:pPr>
              <w:jc w:val="center"/>
              <w:rPr>
                <w:rFonts w:asciiTheme="minorEastAsia" w:hAnsiTheme="minorEastAsia" w:eastAsiaTheme="minorEastAsia" w:cstheme="minorEastAsia"/>
                <w:color w:val="auto"/>
                <w:sz w:val="24"/>
                <w:highlight w:val="none"/>
              </w:rPr>
            </w:pPr>
          </w:p>
        </w:tc>
        <w:tc>
          <w:tcPr>
            <w:tcW w:w="628" w:type="dxa"/>
          </w:tcPr>
          <w:p>
            <w:pPr>
              <w:jc w:val="center"/>
              <w:rPr>
                <w:rFonts w:asciiTheme="minorEastAsia" w:hAnsiTheme="minorEastAsia" w:eastAsiaTheme="minorEastAsia" w:cstheme="minorEastAsia"/>
                <w:color w:val="auto"/>
                <w:sz w:val="24"/>
                <w:highlight w:val="none"/>
              </w:rPr>
            </w:pPr>
          </w:p>
        </w:tc>
        <w:tc>
          <w:tcPr>
            <w:tcW w:w="456" w:type="dxa"/>
          </w:tcPr>
          <w:p>
            <w:pPr>
              <w:jc w:val="center"/>
              <w:rPr>
                <w:rFonts w:asciiTheme="minorEastAsia" w:hAnsiTheme="minorEastAsia" w:eastAsiaTheme="minorEastAsia" w:cstheme="minorEastAsia"/>
                <w:color w:val="auto"/>
                <w:sz w:val="24"/>
                <w:highlight w:val="none"/>
              </w:rPr>
            </w:pPr>
          </w:p>
        </w:tc>
      </w:tr>
    </w:tbl>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1、节能产品根据财政部、国家发展改革委最新公布的节能产品政府采购清单确定。</w:t>
      </w:r>
    </w:p>
    <w:p>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2、如所报产品为节能产品（强制采购产品除外），必须按规定格式逐项填写，否则评审时不予加分。</w:t>
      </w:r>
    </w:p>
    <w:p>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3、如所报产品为政府强制采购节能产品(节能产品政府采购清单中标注★的产品)，必须按规定格式逐项填写，否则按无效报价处理。</w:t>
      </w:r>
    </w:p>
    <w:p>
      <w:pPr>
        <w:spacing w:line="360" w:lineRule="auto"/>
        <w:jc w:val="left"/>
        <w:rPr>
          <w:rFonts w:asciiTheme="minorEastAsia" w:hAnsiTheme="minorEastAsia" w:eastAsiaTheme="minorEastAsia" w:cstheme="minorEastAsia"/>
          <w:color w:val="auto"/>
          <w:sz w:val="24"/>
          <w:highlight w:val="none"/>
        </w:rPr>
      </w:pPr>
    </w:p>
    <w:p>
      <w:pPr>
        <w:spacing w:line="360" w:lineRule="auto"/>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日</w:t>
      </w:r>
    </w:p>
    <w:p>
      <w:pPr>
        <w:pStyle w:val="29"/>
        <w:rPr>
          <w:rFonts w:asciiTheme="minorEastAsia" w:hAnsiTheme="minorEastAsia" w:eastAsiaTheme="minorEastAsia" w:cstheme="minorEastAsia"/>
          <w:color w:val="auto"/>
          <w:highlight w:val="none"/>
        </w:rPr>
      </w:pPr>
      <w:bookmarkStart w:id="120" w:name="_Toc4574"/>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highlight w:val="none"/>
        </w:rPr>
        <w:t>附件：环境标志产品明细表</w:t>
      </w:r>
      <w:bookmarkEnd w:id="120"/>
    </w:p>
    <w:p>
      <w:pPr>
        <w:spacing w:line="360" w:lineRule="auto"/>
        <w:rPr>
          <w:rFonts w:asciiTheme="minorEastAsia" w:hAnsiTheme="minorEastAsia" w:eastAsiaTheme="minorEastAsia" w:cstheme="minorEastAsia"/>
          <w:b/>
          <w:bCs/>
          <w:color w:val="auto"/>
          <w:sz w:val="30"/>
          <w:szCs w:val="30"/>
          <w:highlight w:val="none"/>
        </w:rPr>
      </w:pP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环境标志产品明细表</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价格单位：元</w:t>
      </w:r>
    </w:p>
    <w:tbl>
      <w:tblPr>
        <w:tblStyle w:val="32"/>
        <w:tblW w:w="8873" w:type="dxa"/>
        <w:jc w:val="center"/>
        <w:tblLayout w:type="fixed"/>
        <w:tblCellMar>
          <w:top w:w="0" w:type="dxa"/>
          <w:left w:w="0" w:type="dxa"/>
          <w:bottom w:w="0" w:type="dxa"/>
          <w:right w:w="0" w:type="dxa"/>
        </w:tblCellMar>
      </w:tblPr>
      <w:tblGrid>
        <w:gridCol w:w="458"/>
        <w:gridCol w:w="1086"/>
        <w:gridCol w:w="900"/>
        <w:gridCol w:w="999"/>
        <w:gridCol w:w="648"/>
        <w:gridCol w:w="1512"/>
        <w:gridCol w:w="1514"/>
        <w:gridCol w:w="573"/>
        <w:gridCol w:w="596"/>
        <w:gridCol w:w="587"/>
      </w:tblGrid>
      <w:tr>
        <w:tblPrEx>
          <w:tblCellMar>
            <w:top w:w="0" w:type="dxa"/>
            <w:left w:w="0" w:type="dxa"/>
            <w:bottom w:w="0" w:type="dxa"/>
            <w:right w:w="0" w:type="dxa"/>
          </w:tblCellMar>
        </w:tblPrEx>
        <w:trPr>
          <w:trHeight w:val="674" w:hRule="atLeast"/>
          <w:jc w:val="center"/>
        </w:trPr>
        <w:tc>
          <w:tcPr>
            <w:tcW w:w="458" w:type="dxa"/>
            <w:vMerge w:val="restart"/>
            <w:tcBorders>
              <w:top w:val="single" w:color="auto" w:sz="2" w:space="0"/>
              <w:left w:val="single" w:color="auto" w:sz="2"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086" w:type="dxa"/>
            <w:vMerge w:val="restart"/>
            <w:tcBorders>
              <w:top w:val="single" w:color="auto" w:sz="2" w:space="0"/>
              <w:left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w:t>
            </w:r>
          </w:p>
        </w:tc>
        <w:tc>
          <w:tcPr>
            <w:tcW w:w="900" w:type="dxa"/>
            <w:vMerge w:val="restart"/>
            <w:tcBorders>
              <w:top w:val="single" w:color="auto" w:sz="2" w:space="0"/>
              <w:left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w:t>
            </w:r>
          </w:p>
        </w:tc>
        <w:tc>
          <w:tcPr>
            <w:tcW w:w="999" w:type="dxa"/>
            <w:vMerge w:val="restart"/>
            <w:tcBorders>
              <w:top w:val="single" w:color="auto" w:sz="2" w:space="0"/>
              <w:left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w:t>
            </w:r>
          </w:p>
        </w:tc>
        <w:tc>
          <w:tcPr>
            <w:tcW w:w="648" w:type="dxa"/>
            <w:vMerge w:val="restart"/>
            <w:tcBorders>
              <w:top w:val="single" w:color="auto" w:sz="2" w:space="0"/>
              <w:left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产品型号</w:t>
            </w:r>
          </w:p>
        </w:tc>
        <w:tc>
          <w:tcPr>
            <w:tcW w:w="1512" w:type="dxa"/>
            <w:vMerge w:val="restart"/>
            <w:tcBorders>
              <w:top w:val="single" w:color="auto" w:sz="2" w:space="0"/>
              <w:left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环境标志认证证书号</w:t>
            </w:r>
          </w:p>
        </w:tc>
        <w:tc>
          <w:tcPr>
            <w:tcW w:w="1514" w:type="dxa"/>
            <w:vMerge w:val="restart"/>
            <w:tcBorders>
              <w:top w:val="single" w:color="auto" w:sz="2" w:space="0"/>
              <w:left w:val="single" w:color="000000" w:sz="4" w:space="0"/>
              <w:right w:val="single" w:color="auto" w:sz="2"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环境产品认证证书有效截止日期</w:t>
            </w:r>
          </w:p>
        </w:tc>
        <w:tc>
          <w:tcPr>
            <w:tcW w:w="1756" w:type="dxa"/>
            <w:gridSpan w:val="3"/>
            <w:tcBorders>
              <w:top w:val="single" w:color="auto" w:sz="2" w:space="0"/>
              <w:left w:val="single" w:color="000000" w:sz="4" w:space="0"/>
              <w:bottom w:val="single" w:color="auto" w:sz="4" w:space="0"/>
              <w:right w:val="single" w:color="auto" w:sz="2" w:space="0"/>
            </w:tcBorders>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w:t>
            </w:r>
          </w:p>
        </w:tc>
      </w:tr>
      <w:tr>
        <w:tblPrEx>
          <w:tblCellMar>
            <w:top w:w="0" w:type="dxa"/>
            <w:left w:w="0" w:type="dxa"/>
            <w:bottom w:w="0" w:type="dxa"/>
            <w:right w:w="0" w:type="dxa"/>
          </w:tblCellMar>
        </w:tblPrEx>
        <w:trPr>
          <w:trHeight w:val="709" w:hRule="atLeast"/>
          <w:jc w:val="center"/>
        </w:trPr>
        <w:tc>
          <w:tcPr>
            <w:tcW w:w="458" w:type="dxa"/>
            <w:vMerge w:val="continue"/>
            <w:tcBorders>
              <w:left w:val="single" w:color="auto" w:sz="2"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086"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00"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99"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648"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512"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514" w:type="dxa"/>
            <w:vMerge w:val="continue"/>
            <w:tcBorders>
              <w:left w:val="single" w:color="000000" w:sz="4" w:space="0"/>
              <w:bottom w:val="single" w:color="000000" w:sz="4" w:space="0"/>
              <w:right w:val="single" w:color="auto" w:sz="2"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573" w:type="dxa"/>
            <w:tcBorders>
              <w:top w:val="single" w:color="auto" w:sz="4" w:space="0"/>
              <w:left w:val="single" w:color="000000" w:sz="4" w:space="0"/>
              <w:bottom w:val="single" w:color="000000" w:sz="4" w:space="0"/>
              <w:right w:val="single" w:color="auto" w:sz="4" w:space="0"/>
            </w:tcBorders>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单价</w:t>
            </w:r>
          </w:p>
        </w:tc>
        <w:tc>
          <w:tcPr>
            <w:tcW w:w="596" w:type="dxa"/>
            <w:tcBorders>
              <w:top w:val="single" w:color="auto" w:sz="4" w:space="0"/>
              <w:left w:val="single" w:color="auto" w:sz="4" w:space="0"/>
              <w:bottom w:val="single" w:color="000000" w:sz="4" w:space="0"/>
              <w:right w:val="single" w:color="auto" w:sz="2" w:space="0"/>
            </w:tcBorders>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587" w:type="dxa"/>
            <w:tcBorders>
              <w:top w:val="single" w:color="auto" w:sz="4" w:space="0"/>
              <w:left w:val="single" w:color="auto" w:sz="4" w:space="0"/>
              <w:bottom w:val="single" w:color="000000" w:sz="4" w:space="0"/>
              <w:right w:val="single" w:color="auto" w:sz="2" w:space="0"/>
            </w:tcBorders>
            <w:vAlign w:val="center"/>
          </w:tcPr>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小计</w:t>
            </w:r>
          </w:p>
        </w:tc>
      </w:tr>
      <w:tr>
        <w:tblPrEx>
          <w:tblCellMar>
            <w:top w:w="0" w:type="dxa"/>
            <w:left w:w="0" w:type="dxa"/>
            <w:bottom w:w="0" w:type="dxa"/>
            <w:right w:w="0" w:type="dxa"/>
          </w:tblCellMar>
        </w:tblPrEx>
        <w:trPr>
          <w:trHeight w:val="57" w:hRule="atLeast"/>
          <w:jc w:val="center"/>
        </w:trPr>
        <w:tc>
          <w:tcPr>
            <w:tcW w:w="458" w:type="dxa"/>
            <w:tcBorders>
              <w:top w:val="single" w:color="000000" w:sz="4" w:space="0"/>
              <w:left w:val="single" w:color="auto" w:sz="2"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9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6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514" w:type="dxa"/>
            <w:tcBorders>
              <w:top w:val="single" w:color="000000" w:sz="4" w:space="0"/>
              <w:left w:val="single" w:color="000000" w:sz="4" w:space="0"/>
              <w:bottom w:val="single" w:color="000000" w:sz="4" w:space="0"/>
              <w:right w:val="single" w:color="auto" w:sz="2"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573" w:type="dxa"/>
            <w:tcBorders>
              <w:top w:val="single" w:color="000000" w:sz="4" w:space="0"/>
              <w:left w:val="single" w:color="000000" w:sz="4" w:space="0"/>
              <w:bottom w:val="single" w:color="000000" w:sz="4" w:space="0"/>
              <w:right w:val="single" w:color="auto" w:sz="4" w:space="0"/>
            </w:tcBorders>
          </w:tcPr>
          <w:p>
            <w:pPr>
              <w:spacing w:line="360" w:lineRule="auto"/>
              <w:jc w:val="center"/>
              <w:rPr>
                <w:rFonts w:asciiTheme="minorEastAsia" w:hAnsiTheme="minorEastAsia" w:eastAsiaTheme="minorEastAsia" w:cstheme="minorEastAsia"/>
                <w:color w:val="auto"/>
                <w:sz w:val="24"/>
                <w:szCs w:val="24"/>
                <w:highlight w:val="none"/>
              </w:rPr>
            </w:pPr>
          </w:p>
        </w:tc>
        <w:tc>
          <w:tcPr>
            <w:tcW w:w="596" w:type="dxa"/>
            <w:tcBorders>
              <w:top w:val="single" w:color="000000" w:sz="4" w:space="0"/>
              <w:left w:val="single" w:color="auto" w:sz="4" w:space="0"/>
              <w:bottom w:val="single" w:color="000000" w:sz="4" w:space="0"/>
              <w:right w:val="single" w:color="auto" w:sz="2" w:space="0"/>
            </w:tcBorders>
          </w:tcPr>
          <w:p>
            <w:pPr>
              <w:spacing w:line="360" w:lineRule="auto"/>
              <w:jc w:val="center"/>
              <w:rPr>
                <w:rFonts w:asciiTheme="minorEastAsia" w:hAnsiTheme="minorEastAsia" w:eastAsiaTheme="minorEastAsia" w:cstheme="minorEastAsia"/>
                <w:color w:val="auto"/>
                <w:sz w:val="24"/>
                <w:szCs w:val="24"/>
                <w:highlight w:val="none"/>
              </w:rPr>
            </w:pPr>
          </w:p>
        </w:tc>
        <w:tc>
          <w:tcPr>
            <w:tcW w:w="587" w:type="dxa"/>
            <w:tcBorders>
              <w:top w:val="single" w:color="000000" w:sz="4" w:space="0"/>
              <w:left w:val="single" w:color="auto" w:sz="4" w:space="0"/>
              <w:bottom w:val="single" w:color="000000" w:sz="4" w:space="0"/>
              <w:right w:val="single" w:color="auto" w:sz="2" w:space="0"/>
            </w:tcBorders>
          </w:tcPr>
          <w:p>
            <w:pPr>
              <w:spacing w:line="360" w:lineRule="auto"/>
              <w:jc w:val="center"/>
              <w:rPr>
                <w:rFonts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7" w:hRule="atLeast"/>
          <w:jc w:val="center"/>
        </w:trPr>
        <w:tc>
          <w:tcPr>
            <w:tcW w:w="458" w:type="dxa"/>
            <w:tcBorders>
              <w:top w:val="single" w:color="000000" w:sz="4" w:space="0"/>
              <w:left w:val="single" w:color="auto" w:sz="2"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9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6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514" w:type="dxa"/>
            <w:tcBorders>
              <w:top w:val="single" w:color="000000" w:sz="4" w:space="0"/>
              <w:left w:val="single" w:color="000000" w:sz="4" w:space="0"/>
              <w:bottom w:val="single" w:color="000000" w:sz="4" w:space="0"/>
              <w:right w:val="single" w:color="auto" w:sz="2"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573" w:type="dxa"/>
            <w:tcBorders>
              <w:top w:val="single" w:color="000000" w:sz="4" w:space="0"/>
              <w:left w:val="single" w:color="000000" w:sz="4" w:space="0"/>
              <w:bottom w:val="single" w:color="000000" w:sz="4" w:space="0"/>
              <w:right w:val="single" w:color="auto" w:sz="4" w:space="0"/>
            </w:tcBorders>
          </w:tcPr>
          <w:p>
            <w:pPr>
              <w:spacing w:line="360" w:lineRule="auto"/>
              <w:jc w:val="center"/>
              <w:rPr>
                <w:rFonts w:asciiTheme="minorEastAsia" w:hAnsiTheme="minorEastAsia" w:eastAsiaTheme="minorEastAsia" w:cstheme="minorEastAsia"/>
                <w:color w:val="auto"/>
                <w:sz w:val="24"/>
                <w:szCs w:val="24"/>
                <w:highlight w:val="none"/>
              </w:rPr>
            </w:pPr>
          </w:p>
        </w:tc>
        <w:tc>
          <w:tcPr>
            <w:tcW w:w="596" w:type="dxa"/>
            <w:tcBorders>
              <w:top w:val="single" w:color="000000" w:sz="4" w:space="0"/>
              <w:left w:val="single" w:color="auto" w:sz="4" w:space="0"/>
              <w:bottom w:val="single" w:color="000000" w:sz="4" w:space="0"/>
              <w:right w:val="single" w:color="auto" w:sz="2" w:space="0"/>
            </w:tcBorders>
          </w:tcPr>
          <w:p>
            <w:pPr>
              <w:spacing w:line="360" w:lineRule="auto"/>
              <w:jc w:val="center"/>
              <w:rPr>
                <w:rFonts w:asciiTheme="minorEastAsia" w:hAnsiTheme="minorEastAsia" w:eastAsiaTheme="minorEastAsia" w:cstheme="minorEastAsia"/>
                <w:color w:val="auto"/>
                <w:sz w:val="24"/>
                <w:szCs w:val="24"/>
                <w:highlight w:val="none"/>
              </w:rPr>
            </w:pPr>
          </w:p>
        </w:tc>
        <w:tc>
          <w:tcPr>
            <w:tcW w:w="587" w:type="dxa"/>
            <w:tcBorders>
              <w:top w:val="single" w:color="000000" w:sz="4" w:space="0"/>
              <w:left w:val="single" w:color="auto" w:sz="4" w:space="0"/>
              <w:bottom w:val="single" w:color="000000" w:sz="4" w:space="0"/>
              <w:right w:val="single" w:color="auto" w:sz="2" w:space="0"/>
            </w:tcBorders>
          </w:tcPr>
          <w:p>
            <w:pPr>
              <w:spacing w:line="360" w:lineRule="auto"/>
              <w:jc w:val="center"/>
              <w:rPr>
                <w:rFonts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7" w:hRule="atLeast"/>
          <w:jc w:val="center"/>
        </w:trPr>
        <w:tc>
          <w:tcPr>
            <w:tcW w:w="458" w:type="dxa"/>
            <w:tcBorders>
              <w:top w:val="single" w:color="000000" w:sz="4" w:space="0"/>
              <w:left w:val="single" w:color="auto" w:sz="2"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9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64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514" w:type="dxa"/>
            <w:tcBorders>
              <w:top w:val="single" w:color="000000" w:sz="4" w:space="0"/>
              <w:left w:val="single" w:color="000000" w:sz="4" w:space="0"/>
              <w:bottom w:val="single" w:color="000000" w:sz="4" w:space="0"/>
              <w:right w:val="single" w:color="auto" w:sz="2"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573" w:type="dxa"/>
            <w:tcBorders>
              <w:top w:val="single" w:color="000000" w:sz="4" w:space="0"/>
              <w:left w:val="single" w:color="000000" w:sz="4" w:space="0"/>
              <w:bottom w:val="single" w:color="000000" w:sz="4" w:space="0"/>
              <w:right w:val="single" w:color="auto" w:sz="4" w:space="0"/>
            </w:tcBorders>
          </w:tcPr>
          <w:p>
            <w:pPr>
              <w:spacing w:line="360" w:lineRule="auto"/>
              <w:jc w:val="center"/>
              <w:rPr>
                <w:rFonts w:asciiTheme="minorEastAsia" w:hAnsiTheme="minorEastAsia" w:eastAsiaTheme="minorEastAsia" w:cstheme="minorEastAsia"/>
                <w:color w:val="auto"/>
                <w:sz w:val="24"/>
                <w:szCs w:val="24"/>
                <w:highlight w:val="none"/>
              </w:rPr>
            </w:pPr>
          </w:p>
        </w:tc>
        <w:tc>
          <w:tcPr>
            <w:tcW w:w="596" w:type="dxa"/>
            <w:tcBorders>
              <w:top w:val="single" w:color="000000" w:sz="4" w:space="0"/>
              <w:left w:val="single" w:color="auto" w:sz="4" w:space="0"/>
              <w:bottom w:val="single" w:color="000000" w:sz="4" w:space="0"/>
              <w:right w:val="single" w:color="auto" w:sz="2" w:space="0"/>
            </w:tcBorders>
          </w:tcPr>
          <w:p>
            <w:pPr>
              <w:spacing w:line="360" w:lineRule="auto"/>
              <w:jc w:val="center"/>
              <w:rPr>
                <w:rFonts w:asciiTheme="minorEastAsia" w:hAnsiTheme="minorEastAsia" w:eastAsiaTheme="minorEastAsia" w:cstheme="minorEastAsia"/>
                <w:color w:val="auto"/>
                <w:sz w:val="24"/>
                <w:szCs w:val="24"/>
                <w:highlight w:val="none"/>
              </w:rPr>
            </w:pPr>
          </w:p>
        </w:tc>
        <w:tc>
          <w:tcPr>
            <w:tcW w:w="587" w:type="dxa"/>
            <w:tcBorders>
              <w:top w:val="single" w:color="000000" w:sz="4" w:space="0"/>
              <w:left w:val="single" w:color="auto" w:sz="4" w:space="0"/>
              <w:bottom w:val="single" w:color="000000" w:sz="4" w:space="0"/>
              <w:right w:val="single" w:color="auto" w:sz="2" w:space="0"/>
            </w:tcBorders>
          </w:tcPr>
          <w:p>
            <w:pPr>
              <w:spacing w:line="360" w:lineRule="auto"/>
              <w:jc w:val="center"/>
              <w:rPr>
                <w:rFonts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57" w:hRule="atLeast"/>
          <w:jc w:val="center"/>
        </w:trPr>
        <w:tc>
          <w:tcPr>
            <w:tcW w:w="458" w:type="dxa"/>
            <w:tcBorders>
              <w:top w:val="single" w:color="000000" w:sz="4" w:space="0"/>
              <w:left w:val="single" w:color="auto" w:sz="2" w:space="0"/>
              <w:bottom w:val="single" w:color="auto" w:sz="2"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86" w:type="dxa"/>
            <w:tcBorders>
              <w:top w:val="single" w:color="000000" w:sz="4" w:space="0"/>
              <w:left w:val="single" w:color="000000" w:sz="4" w:space="0"/>
              <w:bottom w:val="single" w:color="auto" w:sz="2"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00" w:type="dxa"/>
            <w:tcBorders>
              <w:top w:val="single" w:color="000000" w:sz="4" w:space="0"/>
              <w:left w:val="single" w:color="000000" w:sz="4" w:space="0"/>
              <w:bottom w:val="single" w:color="auto" w:sz="2"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99" w:type="dxa"/>
            <w:tcBorders>
              <w:top w:val="single" w:color="000000" w:sz="4" w:space="0"/>
              <w:left w:val="single" w:color="000000" w:sz="4" w:space="0"/>
              <w:bottom w:val="single" w:color="auto" w:sz="2"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648" w:type="dxa"/>
            <w:tcBorders>
              <w:top w:val="single" w:color="000000" w:sz="4" w:space="0"/>
              <w:left w:val="single" w:color="000000" w:sz="4" w:space="0"/>
              <w:bottom w:val="single" w:color="auto" w:sz="2"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512" w:type="dxa"/>
            <w:tcBorders>
              <w:top w:val="single" w:color="000000" w:sz="4" w:space="0"/>
              <w:left w:val="single" w:color="000000" w:sz="4" w:space="0"/>
              <w:bottom w:val="single" w:color="auto" w:sz="2"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514" w:type="dxa"/>
            <w:tcBorders>
              <w:top w:val="single" w:color="000000" w:sz="4" w:space="0"/>
              <w:left w:val="single" w:color="000000" w:sz="4" w:space="0"/>
              <w:bottom w:val="single" w:color="auto" w:sz="2" w:space="0"/>
              <w:right w:val="single" w:color="auto" w:sz="2"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573" w:type="dxa"/>
            <w:tcBorders>
              <w:top w:val="single" w:color="000000" w:sz="4" w:space="0"/>
              <w:left w:val="single" w:color="000000" w:sz="4" w:space="0"/>
              <w:bottom w:val="single" w:color="auto" w:sz="2" w:space="0"/>
              <w:right w:val="single" w:color="auto" w:sz="4" w:space="0"/>
            </w:tcBorders>
          </w:tcPr>
          <w:p>
            <w:pPr>
              <w:spacing w:line="360" w:lineRule="auto"/>
              <w:jc w:val="center"/>
              <w:rPr>
                <w:rFonts w:asciiTheme="minorEastAsia" w:hAnsiTheme="minorEastAsia" w:eastAsiaTheme="minorEastAsia" w:cstheme="minorEastAsia"/>
                <w:color w:val="auto"/>
                <w:sz w:val="24"/>
                <w:szCs w:val="24"/>
                <w:highlight w:val="none"/>
              </w:rPr>
            </w:pPr>
          </w:p>
        </w:tc>
        <w:tc>
          <w:tcPr>
            <w:tcW w:w="596" w:type="dxa"/>
            <w:tcBorders>
              <w:top w:val="single" w:color="000000" w:sz="4" w:space="0"/>
              <w:left w:val="single" w:color="auto" w:sz="4" w:space="0"/>
              <w:bottom w:val="single" w:color="auto" w:sz="2" w:space="0"/>
              <w:right w:val="single" w:color="auto" w:sz="2" w:space="0"/>
            </w:tcBorders>
          </w:tcPr>
          <w:p>
            <w:pPr>
              <w:spacing w:line="360" w:lineRule="auto"/>
              <w:jc w:val="center"/>
              <w:rPr>
                <w:rFonts w:asciiTheme="minorEastAsia" w:hAnsiTheme="minorEastAsia" w:eastAsiaTheme="minorEastAsia" w:cstheme="minorEastAsia"/>
                <w:color w:val="auto"/>
                <w:sz w:val="24"/>
                <w:szCs w:val="24"/>
                <w:highlight w:val="none"/>
              </w:rPr>
            </w:pPr>
          </w:p>
        </w:tc>
        <w:tc>
          <w:tcPr>
            <w:tcW w:w="587" w:type="dxa"/>
            <w:tcBorders>
              <w:top w:val="single" w:color="000000" w:sz="4" w:space="0"/>
              <w:left w:val="single" w:color="auto" w:sz="4" w:space="0"/>
              <w:bottom w:val="single" w:color="auto" w:sz="2" w:space="0"/>
              <w:right w:val="single" w:color="auto" w:sz="2" w:space="0"/>
            </w:tcBorders>
          </w:tcPr>
          <w:p>
            <w:pPr>
              <w:spacing w:line="360" w:lineRule="auto"/>
              <w:jc w:val="center"/>
              <w:rPr>
                <w:rFonts w:asciiTheme="minorEastAsia" w:hAnsiTheme="minorEastAsia" w:eastAsiaTheme="minorEastAsia" w:cstheme="minorEastAsia"/>
                <w:color w:val="auto"/>
                <w:sz w:val="24"/>
                <w:szCs w:val="24"/>
                <w:highlight w:val="none"/>
              </w:rPr>
            </w:pPr>
          </w:p>
        </w:tc>
      </w:tr>
    </w:tbl>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1、环境标志产品根据财政部、国家发展改革委最新公布的环境标志产品政府采购清单确定。</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2、如所报产品为环境标志产品，必须按规定格式逐项填写，否则评审时不予加分。</w:t>
      </w:r>
    </w:p>
    <w:p>
      <w:pPr>
        <w:spacing w:line="360" w:lineRule="auto"/>
        <w:rPr>
          <w:rFonts w:asciiTheme="minorEastAsia" w:hAnsiTheme="minorEastAsia" w:eastAsiaTheme="minorEastAsia" w:cstheme="minorEastAsia"/>
          <w:color w:val="auto"/>
          <w:sz w:val="24"/>
          <w:szCs w:val="24"/>
          <w:highlight w:val="none"/>
        </w:rPr>
      </w:pPr>
    </w:p>
    <w:p>
      <w:pPr>
        <w:spacing w:line="360" w:lineRule="auto"/>
        <w:rPr>
          <w:rFonts w:asciiTheme="minorEastAsia" w:hAnsiTheme="minorEastAsia" w:eastAsiaTheme="minorEastAsia" w:cstheme="minorEastAsia"/>
          <w:color w:val="auto"/>
          <w:sz w:val="24"/>
          <w:szCs w:val="24"/>
          <w:highlight w:val="none"/>
        </w:rPr>
      </w:pPr>
    </w:p>
    <w:p>
      <w:pPr>
        <w:spacing w:line="360" w:lineRule="auto"/>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日</w:t>
      </w:r>
    </w:p>
    <w:p>
      <w:pPr>
        <w:widowControl/>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pPr>
        <w:pStyle w:val="29"/>
        <w:rPr>
          <w:rFonts w:asciiTheme="minorEastAsia" w:hAnsiTheme="minorEastAsia" w:eastAsiaTheme="minorEastAsia" w:cstheme="minorEastAsia"/>
          <w:color w:val="auto"/>
          <w:highlight w:val="none"/>
        </w:rPr>
      </w:pPr>
      <w:bookmarkStart w:id="121" w:name="_Toc8809"/>
      <w:r>
        <w:rPr>
          <w:rFonts w:hint="eastAsia" w:asciiTheme="minorEastAsia" w:hAnsiTheme="minorEastAsia" w:eastAsiaTheme="minorEastAsia" w:cstheme="minorEastAsia"/>
          <w:color w:val="auto"/>
          <w:highlight w:val="none"/>
        </w:rPr>
        <w:t>附件：小型、微型企业产品明细表</w:t>
      </w:r>
      <w:bookmarkEnd w:id="121"/>
    </w:p>
    <w:p>
      <w:pPr>
        <w:spacing w:line="360" w:lineRule="auto"/>
        <w:rPr>
          <w:rFonts w:asciiTheme="minorEastAsia" w:hAnsiTheme="minorEastAsia" w:eastAsiaTheme="minorEastAsia" w:cstheme="minorEastAsia"/>
          <w:b/>
          <w:bCs/>
          <w:color w:val="auto"/>
          <w:sz w:val="30"/>
          <w:szCs w:val="30"/>
          <w:highlight w:val="none"/>
        </w:rPr>
      </w:pP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小型、微型企业产品明细表</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价格单位：元</w:t>
      </w:r>
    </w:p>
    <w:p>
      <w:pPr>
        <w:spacing w:line="360" w:lineRule="auto"/>
        <w:rPr>
          <w:rFonts w:asciiTheme="minorEastAsia" w:hAnsiTheme="minorEastAsia" w:eastAsiaTheme="minorEastAsia" w:cstheme="minorEastAsia"/>
          <w:color w:val="auto"/>
          <w:sz w:val="24"/>
          <w:szCs w:val="24"/>
          <w:highlight w:val="none"/>
        </w:rPr>
      </w:pPr>
    </w:p>
    <w:tbl>
      <w:tblPr>
        <w:tblStyle w:val="32"/>
        <w:tblW w:w="10613" w:type="dxa"/>
        <w:jc w:val="center"/>
        <w:tblLayout w:type="fixed"/>
        <w:tblCellMar>
          <w:top w:w="0" w:type="dxa"/>
          <w:left w:w="0" w:type="dxa"/>
          <w:bottom w:w="0" w:type="dxa"/>
          <w:right w:w="0" w:type="dxa"/>
        </w:tblCellMar>
      </w:tblPr>
      <w:tblGrid>
        <w:gridCol w:w="956"/>
        <w:gridCol w:w="1718"/>
        <w:gridCol w:w="1828"/>
        <w:gridCol w:w="1718"/>
        <w:gridCol w:w="1720"/>
        <w:gridCol w:w="930"/>
        <w:gridCol w:w="764"/>
        <w:gridCol w:w="979"/>
      </w:tblGrid>
      <w:tr>
        <w:tblPrEx>
          <w:tblCellMar>
            <w:top w:w="0" w:type="dxa"/>
            <w:left w:w="0" w:type="dxa"/>
            <w:bottom w:w="0" w:type="dxa"/>
            <w:right w:w="0" w:type="dxa"/>
          </w:tblCellMar>
        </w:tblPrEx>
        <w:trPr>
          <w:trHeight w:val="713" w:hRule="exact"/>
          <w:jc w:val="center"/>
        </w:trPr>
        <w:tc>
          <w:tcPr>
            <w:tcW w:w="956" w:type="dxa"/>
            <w:vMerge w:val="restart"/>
            <w:tcBorders>
              <w:top w:val="single" w:color="auto" w:sz="2" w:space="0"/>
              <w:left w:val="single" w:color="auto" w:sz="2"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718" w:type="dxa"/>
            <w:vMerge w:val="restart"/>
            <w:tcBorders>
              <w:top w:val="single" w:color="auto" w:sz="2"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w:t>
            </w:r>
          </w:p>
        </w:tc>
        <w:tc>
          <w:tcPr>
            <w:tcW w:w="1828" w:type="dxa"/>
            <w:vMerge w:val="restart"/>
            <w:tcBorders>
              <w:top w:val="single" w:color="auto" w:sz="2"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w:t>
            </w:r>
          </w:p>
        </w:tc>
        <w:tc>
          <w:tcPr>
            <w:tcW w:w="1718" w:type="dxa"/>
            <w:vMerge w:val="restart"/>
            <w:tcBorders>
              <w:top w:val="single" w:color="auto" w:sz="2"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w:t>
            </w:r>
          </w:p>
        </w:tc>
        <w:tc>
          <w:tcPr>
            <w:tcW w:w="1720" w:type="dxa"/>
            <w:vMerge w:val="restart"/>
            <w:tcBorders>
              <w:top w:val="single" w:color="auto" w:sz="2"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产品型号</w:t>
            </w:r>
          </w:p>
        </w:tc>
        <w:tc>
          <w:tcPr>
            <w:tcW w:w="2673" w:type="dxa"/>
            <w:gridSpan w:val="3"/>
            <w:tcBorders>
              <w:top w:val="single" w:color="auto" w:sz="2" w:space="0"/>
              <w:left w:val="single" w:color="000000" w:sz="4" w:space="0"/>
              <w:bottom w:val="single" w:color="000000" w:sz="4" w:space="0"/>
              <w:right w:val="single" w:color="auto" w:sz="2"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w:t>
            </w:r>
          </w:p>
        </w:tc>
      </w:tr>
      <w:tr>
        <w:tblPrEx>
          <w:tblCellMar>
            <w:top w:w="0" w:type="dxa"/>
            <w:left w:w="0" w:type="dxa"/>
            <w:bottom w:w="0" w:type="dxa"/>
            <w:right w:w="0" w:type="dxa"/>
          </w:tblCellMar>
        </w:tblPrEx>
        <w:trPr>
          <w:trHeight w:val="704" w:hRule="exact"/>
          <w:jc w:val="center"/>
        </w:trPr>
        <w:tc>
          <w:tcPr>
            <w:tcW w:w="956" w:type="dxa"/>
            <w:vMerge w:val="continue"/>
            <w:tcBorders>
              <w:top w:val="single" w:color="000000" w:sz="12" w:space="0"/>
              <w:left w:val="single" w:color="auto" w:sz="2"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718" w:type="dxa"/>
            <w:vMerge w:val="continue"/>
            <w:tcBorders>
              <w:top w:val="single" w:color="000000" w:sz="12"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828" w:type="dxa"/>
            <w:vMerge w:val="continue"/>
            <w:tcBorders>
              <w:top w:val="single" w:color="000000" w:sz="12"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718" w:type="dxa"/>
            <w:vMerge w:val="continue"/>
            <w:tcBorders>
              <w:top w:val="single" w:color="000000" w:sz="12"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720" w:type="dxa"/>
            <w:vMerge w:val="continue"/>
            <w:tcBorders>
              <w:top w:val="single" w:color="000000" w:sz="12"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979" w:type="dxa"/>
            <w:tcBorders>
              <w:top w:val="single" w:color="000000" w:sz="4" w:space="0"/>
              <w:left w:val="single" w:color="000000" w:sz="4" w:space="0"/>
              <w:bottom w:val="single" w:color="000000" w:sz="4" w:space="0"/>
              <w:right w:val="single" w:color="auto" w:sz="2"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小计</w:t>
            </w:r>
          </w:p>
        </w:tc>
      </w:tr>
      <w:tr>
        <w:tblPrEx>
          <w:tblCellMar>
            <w:top w:w="0" w:type="dxa"/>
            <w:left w:w="0" w:type="dxa"/>
            <w:bottom w:w="0" w:type="dxa"/>
            <w:right w:w="0" w:type="dxa"/>
          </w:tblCellMar>
        </w:tblPrEx>
        <w:trPr>
          <w:trHeight w:val="670" w:hRule="exact"/>
          <w:jc w:val="center"/>
        </w:trPr>
        <w:tc>
          <w:tcPr>
            <w:tcW w:w="956" w:type="dxa"/>
            <w:tcBorders>
              <w:top w:val="single" w:color="000000" w:sz="4" w:space="0"/>
              <w:left w:val="single" w:color="auto" w:sz="2"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7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8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7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79" w:type="dxa"/>
            <w:tcBorders>
              <w:top w:val="single" w:color="000000" w:sz="4" w:space="0"/>
              <w:left w:val="single" w:color="000000" w:sz="4" w:space="0"/>
              <w:bottom w:val="single" w:color="000000" w:sz="4" w:space="0"/>
              <w:right w:val="single" w:color="auto" w:sz="2"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68" w:hRule="exact"/>
          <w:jc w:val="center"/>
        </w:trPr>
        <w:tc>
          <w:tcPr>
            <w:tcW w:w="956" w:type="dxa"/>
            <w:tcBorders>
              <w:top w:val="single" w:color="000000" w:sz="4" w:space="0"/>
              <w:left w:val="single" w:color="auto" w:sz="2"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8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7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79" w:type="dxa"/>
            <w:tcBorders>
              <w:top w:val="single" w:color="000000" w:sz="4" w:space="0"/>
              <w:left w:val="single" w:color="000000" w:sz="4" w:space="0"/>
              <w:bottom w:val="single" w:color="000000" w:sz="4" w:space="0"/>
              <w:right w:val="single" w:color="auto" w:sz="2"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70" w:hRule="exact"/>
          <w:jc w:val="center"/>
        </w:trPr>
        <w:tc>
          <w:tcPr>
            <w:tcW w:w="956" w:type="dxa"/>
            <w:tcBorders>
              <w:top w:val="single" w:color="000000" w:sz="4" w:space="0"/>
              <w:left w:val="single" w:color="auto" w:sz="2"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7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82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7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79" w:type="dxa"/>
            <w:tcBorders>
              <w:top w:val="single" w:color="000000" w:sz="4" w:space="0"/>
              <w:left w:val="single" w:color="000000" w:sz="4" w:space="0"/>
              <w:bottom w:val="single" w:color="000000" w:sz="4" w:space="0"/>
              <w:right w:val="single" w:color="auto" w:sz="2"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r>
      <w:tr>
        <w:tblPrEx>
          <w:tblCellMar>
            <w:top w:w="0" w:type="dxa"/>
            <w:left w:w="0" w:type="dxa"/>
            <w:bottom w:w="0" w:type="dxa"/>
            <w:right w:w="0" w:type="dxa"/>
          </w:tblCellMar>
        </w:tblPrEx>
        <w:trPr>
          <w:trHeight w:val="679" w:hRule="exact"/>
          <w:jc w:val="center"/>
        </w:trPr>
        <w:tc>
          <w:tcPr>
            <w:tcW w:w="956" w:type="dxa"/>
            <w:tcBorders>
              <w:top w:val="single" w:color="000000" w:sz="4" w:space="0"/>
              <w:left w:val="single" w:color="auto" w:sz="2" w:space="0"/>
              <w:bottom w:val="single" w:color="auto" w:sz="2"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718" w:type="dxa"/>
            <w:tcBorders>
              <w:top w:val="single" w:color="000000" w:sz="4" w:space="0"/>
              <w:left w:val="single" w:color="000000" w:sz="4" w:space="0"/>
              <w:bottom w:val="single" w:color="auto" w:sz="2"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w:t>
            </w:r>
          </w:p>
        </w:tc>
        <w:tc>
          <w:tcPr>
            <w:tcW w:w="1828" w:type="dxa"/>
            <w:tcBorders>
              <w:top w:val="single" w:color="000000" w:sz="4" w:space="0"/>
              <w:left w:val="single" w:color="000000" w:sz="4" w:space="0"/>
              <w:bottom w:val="single" w:color="auto" w:sz="2"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718" w:type="dxa"/>
            <w:tcBorders>
              <w:top w:val="single" w:color="000000" w:sz="4" w:space="0"/>
              <w:left w:val="single" w:color="000000" w:sz="4" w:space="0"/>
              <w:bottom w:val="single" w:color="auto" w:sz="2"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1720" w:type="dxa"/>
            <w:tcBorders>
              <w:top w:val="single" w:color="000000" w:sz="4" w:space="0"/>
              <w:left w:val="single" w:color="000000" w:sz="4" w:space="0"/>
              <w:bottom w:val="single" w:color="auto" w:sz="2"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30" w:type="dxa"/>
            <w:tcBorders>
              <w:top w:val="single" w:color="000000" w:sz="4" w:space="0"/>
              <w:left w:val="single" w:color="000000" w:sz="4" w:space="0"/>
              <w:bottom w:val="single" w:color="auto" w:sz="2"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764" w:type="dxa"/>
            <w:tcBorders>
              <w:top w:val="single" w:color="000000" w:sz="4" w:space="0"/>
              <w:left w:val="single" w:color="000000" w:sz="4" w:space="0"/>
              <w:bottom w:val="single" w:color="auto" w:sz="2" w:space="0"/>
              <w:right w:val="single" w:color="000000" w:sz="4"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c>
          <w:tcPr>
            <w:tcW w:w="979" w:type="dxa"/>
            <w:tcBorders>
              <w:top w:val="single" w:color="000000" w:sz="4" w:space="0"/>
              <w:left w:val="single" w:color="000000" w:sz="4" w:space="0"/>
              <w:bottom w:val="single" w:color="auto" w:sz="2" w:space="0"/>
              <w:right w:val="single" w:color="auto" w:sz="2" w:space="0"/>
            </w:tcBorders>
            <w:vAlign w:val="center"/>
          </w:tcPr>
          <w:p>
            <w:pPr>
              <w:spacing w:line="360" w:lineRule="auto"/>
              <w:jc w:val="center"/>
              <w:rPr>
                <w:rFonts w:asciiTheme="minorEastAsia" w:hAnsiTheme="minorEastAsia" w:eastAsiaTheme="minorEastAsia" w:cstheme="minorEastAsia"/>
                <w:color w:val="auto"/>
                <w:sz w:val="24"/>
                <w:szCs w:val="24"/>
                <w:highlight w:val="none"/>
              </w:rPr>
            </w:pPr>
          </w:p>
        </w:tc>
      </w:tr>
    </w:tbl>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说明：如所报货物为小型、微型企业产品，必须按规定格式逐项填写，否则评审时不予价格扣除。</w:t>
      </w:r>
    </w:p>
    <w:p>
      <w:pPr>
        <w:spacing w:line="360" w:lineRule="auto"/>
        <w:rPr>
          <w:rFonts w:asciiTheme="minorEastAsia" w:hAnsiTheme="minorEastAsia" w:eastAsiaTheme="minorEastAsia" w:cstheme="minorEastAsia"/>
          <w:color w:val="auto"/>
          <w:sz w:val="24"/>
          <w:szCs w:val="24"/>
          <w:highlight w:val="none"/>
        </w:rPr>
      </w:pPr>
    </w:p>
    <w:p>
      <w:pPr>
        <w:spacing w:line="360" w:lineRule="auto"/>
        <w:rPr>
          <w:rFonts w:asciiTheme="minorEastAsia" w:hAnsiTheme="minorEastAsia" w:eastAsiaTheme="minorEastAsia" w:cstheme="minorEastAsia"/>
          <w:color w:val="auto"/>
          <w:sz w:val="24"/>
          <w:szCs w:val="24"/>
          <w:highlight w:val="none"/>
        </w:rPr>
      </w:pPr>
    </w:p>
    <w:p>
      <w:pPr>
        <w:spacing w:line="360" w:lineRule="auto"/>
        <w:jc w:val="righ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rPr>
        <w:tab/>
      </w:r>
    </w:p>
    <w:bookmarkEnd w:id="114"/>
    <w:bookmarkEnd w:id="115"/>
    <w:bookmarkEnd w:id="116"/>
    <w:bookmarkEnd w:id="117"/>
    <w:p>
      <w:pPr>
        <w:widowControl/>
        <w:jc w:val="left"/>
        <w:rPr>
          <w:rFonts w:asciiTheme="minorEastAsia" w:hAnsiTheme="minorEastAsia" w:eastAsiaTheme="minorEastAsia" w:cstheme="minorEastAsia"/>
          <w:color w:val="auto"/>
          <w:sz w:val="21"/>
          <w:szCs w:val="21"/>
          <w:highlight w:val="none"/>
        </w:rPr>
      </w:pPr>
    </w:p>
    <w:sectPr>
      <w:headerReference r:id="rId3" w:type="default"/>
      <w:footerReference r:id="rId4" w:type="default"/>
      <w:pgSz w:w="11906" w:h="16838"/>
      <w:pgMar w:top="1440" w:right="1146"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MingLiUfalt">
    <w:altName w:val="MingLiU-ExtB"/>
    <w:panose1 w:val="00000000000000000000"/>
    <w:charset w:val="88"/>
    <w:family w:val="modern"/>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- 32 -</w:t>
                          </w:r>
                          <w:r>
                            <w:rPr>
                              <w:rFonts w:hint="eastAsia"/>
                            </w:rP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r9TcUBAACQAwAADgAAAGRycy9lMm9Eb2MueG1srVPBbtswDL0P6D8I&#10;ujdyUmAIjDjFhqBDgWIb0O0DFFmOBUiiICqx8wPbH+y0y+77rnzHKNtJu+7Swy4yRVKPfI/06rZ3&#10;lh10RAO+4vNZwZn2CmrjdxX/+uXueskZJulracHrih818tv11ZtVF0q9gBZsrSMjEI9lFyrephRK&#10;IVC12kmcQdCegg1EJxNd407UUXaE7qxYFMVb0UGsQwSlEcm7GYN8QoyvAYSmMUpvQO2d9mlEjdrK&#10;RJSwNQH5eui2abRKn5oGdWK24sQ0DScVIXubT7FeyXIXZWiNmlqQr2nhBScnjaeiF6iNTJLto/kH&#10;yhkVAaFJMwVOjEQGRYjFvHihzWMrgx64kNQYLqLj/4NVHw+fIzM1bQJnXjoa+OnH99PP36df39i8&#10;uLnJCnUBS0p8DJSa+vfQ5+zJj+TMxPsmuvwlSozipO/xoq/uE1P50XKxXBYUUhQ7XwhHPD0PEdMH&#10;DY5lo+KRBjjoKg8PmMbUc0qu5uHOWEt+WVr/l4Mws0fk3sces5X6bT81voX6SHw6mn3FPa06Z/be&#10;k7R5Tc5GPBvbycg1MLzbJyo89JNRR6ipGA1qYDQtVd6E5/ch6+lHWv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Prq/U3FAQAAkAMAAA4AAAAAAAAAAQAgAAAAHgEAAGRycy9lMm9Eb2MueG1s&#10;UEsFBgAAAAAGAAYAWQEAAFU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- 32 -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rFonts w:hint="eastAsia" w:eastAsia="黑体"/>
        <w:lang w:eastAsia="zh-CN"/>
      </w:rPr>
    </w:pPr>
    <w:r>
      <w:rPr>
        <w:rFonts w:hint="eastAsia" w:ascii="黑体" w:hAnsi="黑体" w:eastAsia="黑体" w:cs="仿宋_GB2312"/>
        <w:color w:val="000000"/>
      </w:rPr>
      <w:t>菏泽职业学院标准化考点建设项目</w:t>
    </w:r>
    <w:r>
      <w:rPr>
        <w:rFonts w:hint="eastAsia" w:ascii="黑体" w:hAnsi="黑体" w:eastAsia="黑体" w:cs="仿宋_GB2312"/>
        <w:color w:val="000000"/>
        <w:lang w:val="en-US" w:eastAsia="zh-CN"/>
      </w:rPr>
      <w:t xml:space="preserve">          </w:t>
    </w:r>
    <w:r>
      <w:rPr>
        <w:rFonts w:hint="eastAsia" w:ascii="黑体" w:hAnsi="黑体" w:eastAsia="黑体" w:cs="仿宋_GB2312"/>
        <w:color w:val="000000"/>
      </w:rPr>
      <w:t xml:space="preserve">        </w:t>
    </w:r>
    <w:r>
      <w:rPr>
        <w:rFonts w:ascii="黑体" w:hAnsi="黑体" w:eastAsia="黑体" w:cs="仿宋_GB2312"/>
        <w:color w:val="000000"/>
      </w:rPr>
      <w:t xml:space="preserve">           </w:t>
    </w:r>
    <w:r>
      <w:rPr>
        <w:rFonts w:hint="eastAsia" w:ascii="黑体" w:hAnsi="黑体" w:eastAsia="黑体" w:cs="仿宋_GB2312"/>
        <w:color w:val="000000"/>
      </w:rPr>
      <w:t xml:space="preserve">    </w:t>
    </w:r>
    <w:r>
      <w:rPr>
        <w:rFonts w:ascii="黑体" w:hAnsi="黑体" w:eastAsia="黑体" w:cs="仿宋_GB2312"/>
        <w:color w:val="000000"/>
      </w:rPr>
      <w:t xml:space="preserve">  </w:t>
    </w:r>
    <w:r>
      <w:rPr>
        <w:rFonts w:hint="eastAsia" w:ascii="黑体" w:hAnsi="黑体" w:eastAsia="黑体" w:cs="仿宋_GB2312"/>
        <w:color w:val="000000"/>
        <w:lang w:val="en-US" w:eastAsia="zh-CN"/>
      </w:rPr>
      <w:t xml:space="preserve">                  </w:t>
    </w:r>
    <w:r>
      <w:rPr>
        <w:rFonts w:hint="eastAsia" w:ascii="黑体" w:hAnsi="黑体" w:eastAsia="黑体" w:cs="仿宋_GB2312"/>
        <w:color w:val="000000"/>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0B0B8"/>
    <w:multiLevelType w:val="singleLevel"/>
    <w:tmpl w:val="82C0B0B8"/>
    <w:lvl w:ilvl="0" w:tentative="0">
      <w:start w:val="2"/>
      <w:numFmt w:val="decimal"/>
      <w:suff w:val="nothing"/>
      <w:lvlText w:val="%1、"/>
      <w:lvlJc w:val="left"/>
    </w:lvl>
  </w:abstractNum>
  <w:abstractNum w:abstractNumId="1">
    <w:nsid w:val="8BB85E3A"/>
    <w:multiLevelType w:val="singleLevel"/>
    <w:tmpl w:val="8BB85E3A"/>
    <w:lvl w:ilvl="0" w:tentative="0">
      <w:start w:val="1"/>
      <w:numFmt w:val="decimal"/>
      <w:suff w:val="nothing"/>
      <w:lvlText w:val="%1、"/>
      <w:lvlJc w:val="left"/>
    </w:lvl>
  </w:abstractNum>
  <w:abstractNum w:abstractNumId="2">
    <w:nsid w:val="A5652DC4"/>
    <w:multiLevelType w:val="singleLevel"/>
    <w:tmpl w:val="A5652DC4"/>
    <w:lvl w:ilvl="0" w:tentative="0">
      <w:start w:val="2"/>
      <w:numFmt w:val="chineseCounting"/>
      <w:suff w:val="nothing"/>
      <w:lvlText w:val="%1、"/>
      <w:lvlJc w:val="left"/>
      <w:rPr>
        <w:rFonts w:hint="eastAsia"/>
      </w:rPr>
    </w:lvl>
  </w:abstractNum>
  <w:abstractNum w:abstractNumId="3">
    <w:nsid w:val="C14E1B17"/>
    <w:multiLevelType w:val="singleLevel"/>
    <w:tmpl w:val="C14E1B17"/>
    <w:lvl w:ilvl="0" w:tentative="0">
      <w:start w:val="3"/>
      <w:numFmt w:val="chineseCounting"/>
      <w:pStyle w:val="135"/>
      <w:suff w:val="nothing"/>
      <w:lvlText w:val="%1、"/>
      <w:lvlJc w:val="left"/>
      <w:rPr>
        <w:rFonts w:hint="eastAsia"/>
      </w:rPr>
    </w:lvl>
  </w:abstractNum>
  <w:abstractNum w:abstractNumId="4">
    <w:nsid w:val="CD4E4715"/>
    <w:multiLevelType w:val="singleLevel"/>
    <w:tmpl w:val="CD4E4715"/>
    <w:lvl w:ilvl="0" w:tentative="0">
      <w:start w:val="2"/>
      <w:numFmt w:val="decimal"/>
      <w:lvlText w:val="%1."/>
      <w:lvlJc w:val="left"/>
      <w:pPr>
        <w:tabs>
          <w:tab w:val="left" w:pos="312"/>
        </w:tabs>
      </w:pPr>
    </w:lvl>
  </w:abstractNum>
  <w:abstractNum w:abstractNumId="5">
    <w:nsid w:val="E54C5F40"/>
    <w:multiLevelType w:val="singleLevel"/>
    <w:tmpl w:val="E54C5F40"/>
    <w:lvl w:ilvl="0" w:tentative="0">
      <w:start w:val="1"/>
      <w:numFmt w:val="decimal"/>
      <w:lvlText w:val="%1."/>
      <w:lvlJc w:val="left"/>
      <w:pPr>
        <w:ind w:left="425" w:hanging="425"/>
      </w:pPr>
      <w:rPr>
        <w:rFonts w:hint="default"/>
      </w:rPr>
    </w:lvl>
  </w:abstractNum>
  <w:abstractNum w:abstractNumId="6">
    <w:nsid w:val="F8377EFD"/>
    <w:multiLevelType w:val="singleLevel"/>
    <w:tmpl w:val="F8377EFD"/>
    <w:lvl w:ilvl="0" w:tentative="0">
      <w:start w:val="2"/>
      <w:numFmt w:val="decimal"/>
      <w:suff w:val="space"/>
      <w:lvlText w:val="%1."/>
      <w:lvlJc w:val="left"/>
    </w:lvl>
  </w:abstractNum>
  <w:num w:numId="1">
    <w:abstractNumId w:val="3"/>
  </w:num>
  <w:num w:numId="2">
    <w:abstractNumId w:val="2"/>
  </w:num>
  <w:num w:numId="3">
    <w:abstractNumId w:val="5"/>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YmE1MjdiNDAyM2RiMTU2ZTNjOWZiNDZjNWVmMzcifQ=="/>
  </w:docVars>
  <w:rsids>
    <w:rsidRoot w:val="00CA151D"/>
    <w:rsid w:val="002E453B"/>
    <w:rsid w:val="003336F7"/>
    <w:rsid w:val="00385E2F"/>
    <w:rsid w:val="0061185D"/>
    <w:rsid w:val="0072445A"/>
    <w:rsid w:val="007B619A"/>
    <w:rsid w:val="00A5710A"/>
    <w:rsid w:val="00CA151D"/>
    <w:rsid w:val="00F13DAB"/>
    <w:rsid w:val="00FC02BF"/>
    <w:rsid w:val="00FF62C6"/>
    <w:rsid w:val="015D1443"/>
    <w:rsid w:val="01C8164A"/>
    <w:rsid w:val="02CD1F13"/>
    <w:rsid w:val="04BB04D0"/>
    <w:rsid w:val="04E26B1F"/>
    <w:rsid w:val="05097E95"/>
    <w:rsid w:val="05405E19"/>
    <w:rsid w:val="05AF3B52"/>
    <w:rsid w:val="071417A1"/>
    <w:rsid w:val="0768045D"/>
    <w:rsid w:val="094E5430"/>
    <w:rsid w:val="09E14D94"/>
    <w:rsid w:val="0C4C05FE"/>
    <w:rsid w:val="0CA06336"/>
    <w:rsid w:val="0CD21745"/>
    <w:rsid w:val="0CF87B8D"/>
    <w:rsid w:val="0DE82985"/>
    <w:rsid w:val="0E9C279A"/>
    <w:rsid w:val="0F4463DE"/>
    <w:rsid w:val="10EA006D"/>
    <w:rsid w:val="11427CC4"/>
    <w:rsid w:val="122907E8"/>
    <w:rsid w:val="12687563"/>
    <w:rsid w:val="129245E0"/>
    <w:rsid w:val="13914897"/>
    <w:rsid w:val="13F310AE"/>
    <w:rsid w:val="144F6A4F"/>
    <w:rsid w:val="14833E13"/>
    <w:rsid w:val="14A316B4"/>
    <w:rsid w:val="14B01F35"/>
    <w:rsid w:val="15B44830"/>
    <w:rsid w:val="161463BC"/>
    <w:rsid w:val="17A10E21"/>
    <w:rsid w:val="17B33B10"/>
    <w:rsid w:val="18BE6F19"/>
    <w:rsid w:val="18F819AB"/>
    <w:rsid w:val="19613679"/>
    <w:rsid w:val="19B0510D"/>
    <w:rsid w:val="19F843EA"/>
    <w:rsid w:val="1A3D12D5"/>
    <w:rsid w:val="1A4E480F"/>
    <w:rsid w:val="1AC128DD"/>
    <w:rsid w:val="1B1C0EEA"/>
    <w:rsid w:val="1B99253B"/>
    <w:rsid w:val="1BA3785E"/>
    <w:rsid w:val="1C2A4DA7"/>
    <w:rsid w:val="1D4A2907"/>
    <w:rsid w:val="1D6B636A"/>
    <w:rsid w:val="1DC34924"/>
    <w:rsid w:val="1DF41CEC"/>
    <w:rsid w:val="1E487052"/>
    <w:rsid w:val="1E7C13EA"/>
    <w:rsid w:val="1F0979D8"/>
    <w:rsid w:val="1F4552D7"/>
    <w:rsid w:val="1FD77AD6"/>
    <w:rsid w:val="201F4E19"/>
    <w:rsid w:val="204C3AF4"/>
    <w:rsid w:val="21A34113"/>
    <w:rsid w:val="22097047"/>
    <w:rsid w:val="22AF5CC8"/>
    <w:rsid w:val="22C046E3"/>
    <w:rsid w:val="22E73498"/>
    <w:rsid w:val="23627FFE"/>
    <w:rsid w:val="2375388E"/>
    <w:rsid w:val="237C6B1A"/>
    <w:rsid w:val="23867849"/>
    <w:rsid w:val="248B2665"/>
    <w:rsid w:val="24A01311"/>
    <w:rsid w:val="24A96CAC"/>
    <w:rsid w:val="24C30629"/>
    <w:rsid w:val="25044920"/>
    <w:rsid w:val="2561056D"/>
    <w:rsid w:val="25B8785A"/>
    <w:rsid w:val="25ED7B40"/>
    <w:rsid w:val="26F251F5"/>
    <w:rsid w:val="271B0BF0"/>
    <w:rsid w:val="2767394C"/>
    <w:rsid w:val="277420AE"/>
    <w:rsid w:val="27D85A8D"/>
    <w:rsid w:val="281A0CDA"/>
    <w:rsid w:val="28FE2577"/>
    <w:rsid w:val="29583A13"/>
    <w:rsid w:val="2A293624"/>
    <w:rsid w:val="2AE5754B"/>
    <w:rsid w:val="2BD70F3D"/>
    <w:rsid w:val="2C647A36"/>
    <w:rsid w:val="2CE657FC"/>
    <w:rsid w:val="2DEC299E"/>
    <w:rsid w:val="2E8250B1"/>
    <w:rsid w:val="2FA36142"/>
    <w:rsid w:val="2FB7522E"/>
    <w:rsid w:val="2FDE0A0C"/>
    <w:rsid w:val="2FE64A30"/>
    <w:rsid w:val="30863854"/>
    <w:rsid w:val="30AA55AA"/>
    <w:rsid w:val="30BA48E7"/>
    <w:rsid w:val="316C39DA"/>
    <w:rsid w:val="31B84A41"/>
    <w:rsid w:val="31CD1EAE"/>
    <w:rsid w:val="32FF1826"/>
    <w:rsid w:val="335039CF"/>
    <w:rsid w:val="34034EE6"/>
    <w:rsid w:val="34D0757C"/>
    <w:rsid w:val="352C3FC8"/>
    <w:rsid w:val="37A147F9"/>
    <w:rsid w:val="38A30A45"/>
    <w:rsid w:val="38E85A6C"/>
    <w:rsid w:val="39273424"/>
    <w:rsid w:val="397B3C91"/>
    <w:rsid w:val="3A6659F0"/>
    <w:rsid w:val="3A7220CB"/>
    <w:rsid w:val="3AB0529A"/>
    <w:rsid w:val="3AB74334"/>
    <w:rsid w:val="3ADC3D9A"/>
    <w:rsid w:val="3B59383A"/>
    <w:rsid w:val="3B74719C"/>
    <w:rsid w:val="3BD07188"/>
    <w:rsid w:val="3C71504B"/>
    <w:rsid w:val="3C8B5A78"/>
    <w:rsid w:val="3D6A7D83"/>
    <w:rsid w:val="3DFB432B"/>
    <w:rsid w:val="3E597920"/>
    <w:rsid w:val="3EB26280"/>
    <w:rsid w:val="40AB493B"/>
    <w:rsid w:val="40DE086C"/>
    <w:rsid w:val="410B117F"/>
    <w:rsid w:val="418C02C8"/>
    <w:rsid w:val="42B850ED"/>
    <w:rsid w:val="42C65A5C"/>
    <w:rsid w:val="42CF7749"/>
    <w:rsid w:val="43903F2A"/>
    <w:rsid w:val="43E53CC0"/>
    <w:rsid w:val="44E773B0"/>
    <w:rsid w:val="45745100"/>
    <w:rsid w:val="45905EAD"/>
    <w:rsid w:val="46CE25FF"/>
    <w:rsid w:val="47694C08"/>
    <w:rsid w:val="484C6A03"/>
    <w:rsid w:val="49E54A1A"/>
    <w:rsid w:val="4B0E61F2"/>
    <w:rsid w:val="4B1127B4"/>
    <w:rsid w:val="4C0C5725"/>
    <w:rsid w:val="4C26756B"/>
    <w:rsid w:val="4D73058E"/>
    <w:rsid w:val="4FDA66A3"/>
    <w:rsid w:val="5038161B"/>
    <w:rsid w:val="50C97249"/>
    <w:rsid w:val="50FE0CB7"/>
    <w:rsid w:val="514C1822"/>
    <w:rsid w:val="52C378C2"/>
    <w:rsid w:val="52CF23C5"/>
    <w:rsid w:val="534250BD"/>
    <w:rsid w:val="53F35F85"/>
    <w:rsid w:val="548668C1"/>
    <w:rsid w:val="54B40DD4"/>
    <w:rsid w:val="55AC6D33"/>
    <w:rsid w:val="55B300C2"/>
    <w:rsid w:val="562923EA"/>
    <w:rsid w:val="57792C45"/>
    <w:rsid w:val="58262DCD"/>
    <w:rsid w:val="58311772"/>
    <w:rsid w:val="58E32A6C"/>
    <w:rsid w:val="591C7D2C"/>
    <w:rsid w:val="5B25268F"/>
    <w:rsid w:val="5B413A7A"/>
    <w:rsid w:val="5C8319FE"/>
    <w:rsid w:val="5DA7472F"/>
    <w:rsid w:val="5E0C4813"/>
    <w:rsid w:val="5ED54C05"/>
    <w:rsid w:val="5EDE1B9F"/>
    <w:rsid w:val="5FD21144"/>
    <w:rsid w:val="5FEF619A"/>
    <w:rsid w:val="601E66D8"/>
    <w:rsid w:val="602A634C"/>
    <w:rsid w:val="602B40BF"/>
    <w:rsid w:val="603242D9"/>
    <w:rsid w:val="604A14B1"/>
    <w:rsid w:val="61EF1A45"/>
    <w:rsid w:val="62506200"/>
    <w:rsid w:val="628B7E7B"/>
    <w:rsid w:val="629848C7"/>
    <w:rsid w:val="629D3C8C"/>
    <w:rsid w:val="6300518A"/>
    <w:rsid w:val="63BE035D"/>
    <w:rsid w:val="63E8362C"/>
    <w:rsid w:val="642A59F3"/>
    <w:rsid w:val="64364CD2"/>
    <w:rsid w:val="645C36D2"/>
    <w:rsid w:val="64E923DB"/>
    <w:rsid w:val="659A0176"/>
    <w:rsid w:val="66072CCD"/>
    <w:rsid w:val="67192F5C"/>
    <w:rsid w:val="6759214B"/>
    <w:rsid w:val="676C1E7F"/>
    <w:rsid w:val="68866631"/>
    <w:rsid w:val="696A6892"/>
    <w:rsid w:val="6A7C1D67"/>
    <w:rsid w:val="6AA63413"/>
    <w:rsid w:val="6AF656D3"/>
    <w:rsid w:val="6B2F7D93"/>
    <w:rsid w:val="6B7D441B"/>
    <w:rsid w:val="6C166013"/>
    <w:rsid w:val="6C6C5997"/>
    <w:rsid w:val="6C771FEE"/>
    <w:rsid w:val="6CB93DB8"/>
    <w:rsid w:val="6CDF3482"/>
    <w:rsid w:val="6D7E0B01"/>
    <w:rsid w:val="6E131936"/>
    <w:rsid w:val="6F5B71DF"/>
    <w:rsid w:val="702D4334"/>
    <w:rsid w:val="70BD199D"/>
    <w:rsid w:val="70D867D7"/>
    <w:rsid w:val="70FC0717"/>
    <w:rsid w:val="71E24CDE"/>
    <w:rsid w:val="71F35EA7"/>
    <w:rsid w:val="71F638BA"/>
    <w:rsid w:val="720E5E3F"/>
    <w:rsid w:val="721334D0"/>
    <w:rsid w:val="73261A7B"/>
    <w:rsid w:val="74C2268F"/>
    <w:rsid w:val="756D3B09"/>
    <w:rsid w:val="767F0F77"/>
    <w:rsid w:val="772207AC"/>
    <w:rsid w:val="777059C5"/>
    <w:rsid w:val="77707E41"/>
    <w:rsid w:val="77882D05"/>
    <w:rsid w:val="77AF0C32"/>
    <w:rsid w:val="77B46F54"/>
    <w:rsid w:val="786065F4"/>
    <w:rsid w:val="78D67AA0"/>
    <w:rsid w:val="78F00DE1"/>
    <w:rsid w:val="797A1366"/>
    <w:rsid w:val="79CD2C51"/>
    <w:rsid w:val="79FE2EB5"/>
    <w:rsid w:val="7A505630"/>
    <w:rsid w:val="7A9B2D4F"/>
    <w:rsid w:val="7B292109"/>
    <w:rsid w:val="7BB73BB8"/>
    <w:rsid w:val="7E284F01"/>
    <w:rsid w:val="7F950BD7"/>
    <w:rsid w:val="7FFC0C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宋体"/>
      <w:kern w:val="2"/>
      <w:sz w:val="28"/>
      <w:szCs w:val="28"/>
      <w:lang w:val="en-US" w:eastAsia="zh-CN" w:bidi="ar-SA"/>
    </w:rPr>
  </w:style>
  <w:style w:type="paragraph" w:styleId="3">
    <w:name w:val="heading 1"/>
    <w:basedOn w:val="1"/>
    <w:next w:val="1"/>
    <w:link w:val="46"/>
    <w:qFormat/>
    <w:uiPriority w:val="99"/>
    <w:pPr>
      <w:keepNext/>
      <w:keepLines/>
      <w:spacing w:line="360" w:lineRule="auto"/>
      <w:jc w:val="center"/>
      <w:outlineLvl w:val="0"/>
    </w:pPr>
    <w:rPr>
      <w:rFonts w:cs="Times New Roman"/>
      <w:b/>
      <w:bCs/>
      <w:kern w:val="44"/>
      <w:sz w:val="44"/>
      <w:szCs w:val="44"/>
    </w:rPr>
  </w:style>
  <w:style w:type="paragraph" w:styleId="4">
    <w:name w:val="heading 2"/>
    <w:basedOn w:val="1"/>
    <w:next w:val="1"/>
    <w:link w:val="129"/>
    <w:qFormat/>
    <w:uiPriority w:val="99"/>
    <w:pPr>
      <w:widowControl/>
      <w:jc w:val="left"/>
      <w:outlineLvl w:val="1"/>
    </w:pPr>
    <w:rPr>
      <w:rFonts w:cs="Times New Roman"/>
      <w:b/>
      <w:bCs/>
      <w:kern w:val="0"/>
      <w:sz w:val="36"/>
      <w:szCs w:val="36"/>
    </w:rPr>
  </w:style>
  <w:style w:type="paragraph" w:styleId="5">
    <w:name w:val="heading 3"/>
    <w:basedOn w:val="1"/>
    <w:next w:val="1"/>
    <w:link w:val="48"/>
    <w:qFormat/>
    <w:uiPriority w:val="99"/>
    <w:pPr>
      <w:keepNext/>
      <w:keepLines/>
      <w:spacing w:line="416" w:lineRule="auto"/>
      <w:jc w:val="left"/>
      <w:outlineLvl w:val="2"/>
    </w:pPr>
    <w:rPr>
      <w:rFonts w:ascii="Times New Roman" w:eastAsia="黑体" w:cs="Times New Roman"/>
      <w:sz w:val="32"/>
      <w:szCs w:val="32"/>
    </w:rPr>
  </w:style>
  <w:style w:type="paragraph" w:styleId="6">
    <w:name w:val="heading 4"/>
    <w:basedOn w:val="1"/>
    <w:next w:val="1"/>
    <w:link w:val="49"/>
    <w:qFormat/>
    <w:uiPriority w:val="99"/>
    <w:pPr>
      <w:ind w:left="539"/>
      <w:outlineLvl w:val="3"/>
    </w:pPr>
    <w:rPr>
      <w:rFonts w:hAnsi="宋体"/>
      <w:sz w:val="24"/>
      <w:szCs w:val="24"/>
    </w:rPr>
  </w:style>
  <w:style w:type="paragraph" w:styleId="7">
    <w:name w:val="heading 5"/>
    <w:basedOn w:val="1"/>
    <w:next w:val="1"/>
    <w:link w:val="50"/>
    <w:qFormat/>
    <w:uiPriority w:val="99"/>
    <w:pPr>
      <w:ind w:left="380"/>
      <w:outlineLvl w:val="4"/>
    </w:pPr>
    <w:rPr>
      <w:rFonts w:hAnsi="宋体"/>
      <w:b/>
      <w:bCs/>
      <w:sz w:val="24"/>
      <w:szCs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99"/>
    <w:pPr>
      <w:spacing w:before="120" w:after="120"/>
      <w:jc w:val="left"/>
    </w:pPr>
    <w:rPr>
      <w:rFonts w:hAnsi="宋体" w:cs="Calibri"/>
      <w:b/>
      <w:bCs/>
      <w:caps/>
      <w:sz w:val="30"/>
      <w:szCs w:val="30"/>
    </w:rPr>
  </w:style>
  <w:style w:type="paragraph" w:styleId="8">
    <w:name w:val="List 3"/>
    <w:basedOn w:val="1"/>
    <w:qFormat/>
    <w:uiPriority w:val="99"/>
    <w:pPr>
      <w:ind w:left="100" w:leftChars="400" w:hanging="200" w:hangingChars="200"/>
    </w:pPr>
    <w:rPr>
      <w:rFonts w:ascii="Times New Roman" w:cs="Times New Roman"/>
      <w:sz w:val="21"/>
      <w:szCs w:val="21"/>
    </w:rPr>
  </w:style>
  <w:style w:type="paragraph" w:styleId="9">
    <w:name w:val="Normal Indent"/>
    <w:basedOn w:val="1"/>
    <w:qFormat/>
    <w:uiPriority w:val="99"/>
    <w:pPr>
      <w:ind w:firstLine="420"/>
    </w:pPr>
    <w:rPr>
      <w:rFonts w:ascii="Times New Roman" w:cs="Times New Roman"/>
      <w:sz w:val="21"/>
      <w:szCs w:val="21"/>
    </w:rPr>
  </w:style>
  <w:style w:type="paragraph" w:styleId="10">
    <w:name w:val="caption"/>
    <w:basedOn w:val="1"/>
    <w:next w:val="1"/>
    <w:qFormat/>
    <w:uiPriority w:val="99"/>
    <w:pPr>
      <w:spacing w:before="152" w:after="160"/>
    </w:pPr>
    <w:rPr>
      <w:rFonts w:ascii="Arial" w:hAnsi="Arial" w:eastAsia="黑体" w:cs="Arial"/>
      <w:sz w:val="20"/>
      <w:szCs w:val="20"/>
    </w:rPr>
  </w:style>
  <w:style w:type="paragraph" w:styleId="11">
    <w:name w:val="toa heading"/>
    <w:basedOn w:val="1"/>
    <w:next w:val="1"/>
    <w:qFormat/>
    <w:locked/>
    <w:uiPriority w:val="0"/>
    <w:pPr>
      <w:spacing w:before="120"/>
    </w:pPr>
    <w:rPr>
      <w:rFonts w:ascii="Arial" w:hAnsi="Arial"/>
      <w:sz w:val="24"/>
      <w:szCs w:val="20"/>
    </w:rPr>
  </w:style>
  <w:style w:type="paragraph" w:styleId="12">
    <w:name w:val="annotation text"/>
    <w:basedOn w:val="1"/>
    <w:link w:val="51"/>
    <w:qFormat/>
    <w:uiPriority w:val="99"/>
    <w:pPr>
      <w:jc w:val="left"/>
    </w:pPr>
    <w:rPr>
      <w:rFonts w:cs="Times New Roman"/>
      <w:sz w:val="24"/>
      <w:szCs w:val="24"/>
    </w:rPr>
  </w:style>
  <w:style w:type="paragraph" w:styleId="13">
    <w:name w:val="Body Text"/>
    <w:basedOn w:val="1"/>
    <w:next w:val="1"/>
    <w:link w:val="53"/>
    <w:qFormat/>
    <w:uiPriority w:val="99"/>
    <w:rPr>
      <w:rFonts w:cs="Times New Roman"/>
      <w:sz w:val="32"/>
      <w:szCs w:val="32"/>
    </w:rPr>
  </w:style>
  <w:style w:type="paragraph" w:styleId="14">
    <w:name w:val="Body Text Indent"/>
    <w:basedOn w:val="1"/>
    <w:next w:val="1"/>
    <w:link w:val="54"/>
    <w:qFormat/>
    <w:uiPriority w:val="99"/>
    <w:pPr>
      <w:spacing w:line="480" w:lineRule="exact"/>
      <w:ind w:firstLine="538" w:firstLineChars="192"/>
      <w:jc w:val="left"/>
    </w:pPr>
    <w:rPr>
      <w:rFonts w:cs="Times New Roman"/>
      <w:sz w:val="24"/>
      <w:szCs w:val="24"/>
    </w:rPr>
  </w:style>
  <w:style w:type="paragraph" w:styleId="15">
    <w:name w:val="List 2"/>
    <w:basedOn w:val="1"/>
    <w:qFormat/>
    <w:uiPriority w:val="99"/>
    <w:pPr>
      <w:ind w:left="100" w:leftChars="200" w:hanging="200" w:hangingChars="200"/>
    </w:pPr>
    <w:rPr>
      <w:rFonts w:ascii="Times New Roman" w:cs="Times New Roman"/>
      <w:sz w:val="21"/>
      <w:szCs w:val="21"/>
    </w:rPr>
  </w:style>
  <w:style w:type="paragraph" w:styleId="16">
    <w:name w:val="toc 3"/>
    <w:basedOn w:val="1"/>
    <w:next w:val="1"/>
    <w:qFormat/>
    <w:uiPriority w:val="99"/>
    <w:pPr>
      <w:ind w:left="840" w:leftChars="400"/>
    </w:pPr>
  </w:style>
  <w:style w:type="paragraph" w:styleId="17">
    <w:name w:val="Plain Text"/>
    <w:basedOn w:val="1"/>
    <w:next w:val="1"/>
    <w:link w:val="55"/>
    <w:qFormat/>
    <w:uiPriority w:val="99"/>
    <w:rPr>
      <w:rFonts w:hAnsi="Courier New" w:cs="Times New Roman"/>
      <w:sz w:val="21"/>
      <w:szCs w:val="21"/>
    </w:rPr>
  </w:style>
  <w:style w:type="paragraph" w:styleId="18">
    <w:name w:val="Date"/>
    <w:basedOn w:val="1"/>
    <w:next w:val="1"/>
    <w:link w:val="56"/>
    <w:qFormat/>
    <w:uiPriority w:val="99"/>
    <w:pPr>
      <w:ind w:left="100" w:leftChars="2500"/>
    </w:pPr>
    <w:rPr>
      <w:rFonts w:cs="Times New Roman"/>
      <w:sz w:val="24"/>
      <w:szCs w:val="24"/>
    </w:rPr>
  </w:style>
  <w:style w:type="paragraph" w:styleId="19">
    <w:name w:val="Body Text Indent 2"/>
    <w:basedOn w:val="1"/>
    <w:link w:val="57"/>
    <w:qFormat/>
    <w:uiPriority w:val="99"/>
    <w:pPr>
      <w:spacing w:line="480" w:lineRule="exact"/>
      <w:ind w:firstLine="241" w:firstLineChars="100"/>
      <w:jc w:val="left"/>
    </w:pPr>
    <w:rPr>
      <w:rFonts w:ascii="黑体" w:hAnsi="宋体" w:eastAsia="黑体" w:cs="Times New Roman"/>
      <w:b/>
      <w:bCs/>
      <w:sz w:val="24"/>
      <w:szCs w:val="24"/>
    </w:rPr>
  </w:style>
  <w:style w:type="paragraph" w:styleId="20">
    <w:name w:val="Balloon Text"/>
    <w:basedOn w:val="1"/>
    <w:link w:val="58"/>
    <w:qFormat/>
    <w:uiPriority w:val="99"/>
    <w:rPr>
      <w:rFonts w:ascii="Times New Roman" w:cs="Times New Roman"/>
      <w:sz w:val="18"/>
      <w:szCs w:val="18"/>
    </w:rPr>
  </w:style>
  <w:style w:type="paragraph" w:styleId="21">
    <w:name w:val="footer"/>
    <w:basedOn w:val="1"/>
    <w:link w:val="59"/>
    <w:qFormat/>
    <w:uiPriority w:val="99"/>
    <w:pPr>
      <w:tabs>
        <w:tab w:val="center" w:pos="4153"/>
        <w:tab w:val="right" w:pos="8306"/>
      </w:tabs>
      <w:snapToGrid w:val="0"/>
      <w:jc w:val="left"/>
    </w:pPr>
    <w:rPr>
      <w:rFonts w:ascii="Times New Roman" w:cs="Times New Roman"/>
      <w:sz w:val="18"/>
      <w:szCs w:val="18"/>
    </w:rPr>
  </w:style>
  <w:style w:type="paragraph" w:styleId="22">
    <w:name w:val="header"/>
    <w:basedOn w:val="1"/>
    <w:link w:val="74"/>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23">
    <w:name w:val="Subtitle"/>
    <w:basedOn w:val="1"/>
    <w:next w:val="1"/>
    <w:link w:val="61"/>
    <w:qFormat/>
    <w:uiPriority w:val="99"/>
    <w:pPr>
      <w:spacing w:before="240" w:after="60" w:line="312" w:lineRule="auto"/>
      <w:jc w:val="center"/>
      <w:outlineLvl w:val="1"/>
    </w:pPr>
    <w:rPr>
      <w:rFonts w:ascii="Cambria" w:hAnsi="Cambria" w:cs="Times New Roman"/>
      <w:b/>
      <w:kern w:val="28"/>
      <w:sz w:val="32"/>
      <w:szCs w:val="20"/>
    </w:rPr>
  </w:style>
  <w:style w:type="paragraph" w:styleId="24">
    <w:name w:val="List"/>
    <w:basedOn w:val="1"/>
    <w:qFormat/>
    <w:uiPriority w:val="99"/>
    <w:pPr>
      <w:ind w:left="200" w:hanging="200" w:hangingChars="200"/>
    </w:pPr>
    <w:rPr>
      <w:rFonts w:ascii="Times New Roman" w:cs="Times New Roman"/>
      <w:sz w:val="21"/>
      <w:szCs w:val="21"/>
    </w:rPr>
  </w:style>
  <w:style w:type="paragraph" w:styleId="25">
    <w:name w:val="Body Text Indent 3"/>
    <w:basedOn w:val="1"/>
    <w:link w:val="62"/>
    <w:qFormat/>
    <w:uiPriority w:val="99"/>
    <w:pPr>
      <w:spacing w:line="360" w:lineRule="auto"/>
      <w:ind w:firstLine="480" w:firstLineChars="200"/>
    </w:pPr>
    <w:rPr>
      <w:rFonts w:cs="Times New Roman"/>
      <w:sz w:val="24"/>
      <w:szCs w:val="24"/>
    </w:rPr>
  </w:style>
  <w:style w:type="paragraph" w:styleId="26">
    <w:name w:val="toc 2"/>
    <w:basedOn w:val="1"/>
    <w:next w:val="1"/>
    <w:qFormat/>
    <w:uiPriority w:val="99"/>
    <w:pPr>
      <w:ind w:left="420" w:leftChars="200"/>
    </w:pPr>
  </w:style>
  <w:style w:type="paragraph" w:styleId="27">
    <w:name w:val="Body Text 2"/>
    <w:basedOn w:val="1"/>
    <w:link w:val="63"/>
    <w:qFormat/>
    <w:uiPriority w:val="99"/>
    <w:pPr>
      <w:spacing w:after="120" w:line="480" w:lineRule="auto"/>
    </w:pPr>
    <w:rPr>
      <w:rFonts w:cs="Times New Roman"/>
      <w:sz w:val="24"/>
      <w:szCs w:val="24"/>
    </w:rPr>
  </w:style>
  <w:style w:type="paragraph" w:styleId="28">
    <w:name w:val="Normal (Web)"/>
    <w:basedOn w:val="1"/>
    <w:qFormat/>
    <w:uiPriority w:val="99"/>
    <w:pPr>
      <w:widowControl/>
      <w:spacing w:before="100" w:beforeAutospacing="1" w:after="100" w:afterAutospacing="1"/>
      <w:jc w:val="left"/>
    </w:pPr>
    <w:rPr>
      <w:rFonts w:ascii="Arial Unicode MS" w:hAnsi="Arial Unicode MS" w:cs="Arial Unicode MS"/>
      <w:kern w:val="0"/>
      <w:sz w:val="24"/>
      <w:szCs w:val="24"/>
    </w:rPr>
  </w:style>
  <w:style w:type="paragraph" w:styleId="29">
    <w:name w:val="Title"/>
    <w:basedOn w:val="1"/>
    <w:next w:val="1"/>
    <w:link w:val="64"/>
    <w:qFormat/>
    <w:uiPriority w:val="99"/>
    <w:pPr>
      <w:spacing w:before="240" w:after="60"/>
      <w:jc w:val="left"/>
      <w:outlineLvl w:val="0"/>
    </w:pPr>
    <w:rPr>
      <w:rFonts w:ascii="Cambria" w:hAnsi="Cambria" w:cs="Times New Roman"/>
      <w:b/>
      <w:bCs/>
      <w:sz w:val="32"/>
      <w:szCs w:val="32"/>
    </w:rPr>
  </w:style>
  <w:style w:type="paragraph" w:styleId="30">
    <w:name w:val="annotation subject"/>
    <w:basedOn w:val="12"/>
    <w:next w:val="12"/>
    <w:link w:val="52"/>
    <w:qFormat/>
    <w:uiPriority w:val="99"/>
    <w:rPr>
      <w:b/>
      <w:bCs/>
      <w:sz w:val="28"/>
      <w:szCs w:val="28"/>
    </w:rPr>
  </w:style>
  <w:style w:type="paragraph" w:styleId="31">
    <w:name w:val="Body Text First Indent 2"/>
    <w:basedOn w:val="14"/>
    <w:next w:val="1"/>
    <w:unhideWhenUsed/>
    <w:qFormat/>
    <w:locked/>
    <w:uiPriority w:val="99"/>
    <w:pPr>
      <w:ind w:firstLine="420"/>
    </w:pPr>
  </w:style>
  <w:style w:type="table" w:styleId="33">
    <w:name w:val="Table Grid"/>
    <w:basedOn w:val="3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page number"/>
    <w:basedOn w:val="34"/>
    <w:qFormat/>
    <w:uiPriority w:val="99"/>
    <w:rPr>
      <w:rFonts w:cs="Times New Roman"/>
    </w:rPr>
  </w:style>
  <w:style w:type="character" w:styleId="36">
    <w:name w:val="FollowedHyperlink"/>
    <w:basedOn w:val="34"/>
    <w:qFormat/>
    <w:uiPriority w:val="99"/>
    <w:rPr>
      <w:rFonts w:cs="Times New Roman"/>
      <w:color w:val="800080"/>
      <w:u w:val="single"/>
    </w:rPr>
  </w:style>
  <w:style w:type="character" w:styleId="37">
    <w:name w:val="Emphasis"/>
    <w:basedOn w:val="34"/>
    <w:qFormat/>
    <w:locked/>
    <w:uiPriority w:val="20"/>
    <w:rPr>
      <w:i/>
    </w:rPr>
  </w:style>
  <w:style w:type="character" w:styleId="38">
    <w:name w:val="line number"/>
    <w:basedOn w:val="34"/>
    <w:qFormat/>
    <w:uiPriority w:val="99"/>
    <w:rPr>
      <w:rFonts w:cs="Times New Roman"/>
    </w:rPr>
  </w:style>
  <w:style w:type="character" w:styleId="39">
    <w:name w:val="Hyperlink"/>
    <w:basedOn w:val="34"/>
    <w:qFormat/>
    <w:uiPriority w:val="99"/>
    <w:rPr>
      <w:rFonts w:cs="Times New Roman"/>
      <w:color w:val="0000FF"/>
      <w:u w:val="single"/>
    </w:rPr>
  </w:style>
  <w:style w:type="character" w:styleId="40">
    <w:name w:val="annotation reference"/>
    <w:basedOn w:val="34"/>
    <w:qFormat/>
    <w:uiPriority w:val="99"/>
    <w:rPr>
      <w:rFonts w:cs="Times New Roman"/>
      <w:sz w:val="21"/>
    </w:rPr>
  </w:style>
  <w:style w:type="paragraph" w:customStyle="1" w:styleId="41">
    <w:name w:val="List Paragraph"/>
    <w:basedOn w:val="1"/>
    <w:qFormat/>
    <w:uiPriority w:val="34"/>
    <w:pPr>
      <w:ind w:firstLine="420" w:firstLineChars="200"/>
    </w:pPr>
  </w:style>
  <w:style w:type="paragraph" w:customStyle="1" w:styleId="42">
    <w:name w:val="首行缩进"/>
    <w:basedOn w:val="1"/>
    <w:next w:val="1"/>
    <w:qFormat/>
    <w:uiPriority w:val="99"/>
    <w:pPr>
      <w:spacing w:line="360" w:lineRule="auto"/>
      <w:ind w:firstLine="480" w:firstLineChars="200"/>
    </w:pPr>
    <w:rPr>
      <w:rFonts w:hAnsi="宋体"/>
      <w:kern w:val="0"/>
    </w:rPr>
  </w:style>
  <w:style w:type="paragraph" w:customStyle="1" w:styleId="4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45">
    <w:name w:val="列出段落1"/>
    <w:basedOn w:val="1"/>
    <w:qFormat/>
    <w:uiPriority w:val="99"/>
    <w:pPr>
      <w:ind w:firstLine="420" w:firstLineChars="200"/>
    </w:pPr>
    <w:rPr>
      <w:rFonts w:ascii="Calibri" w:hAnsi="Calibri"/>
      <w:sz w:val="21"/>
      <w:szCs w:val="22"/>
    </w:rPr>
  </w:style>
  <w:style w:type="character" w:customStyle="1" w:styleId="46">
    <w:name w:val="标题 1 字符"/>
    <w:basedOn w:val="34"/>
    <w:link w:val="3"/>
    <w:qFormat/>
    <w:locked/>
    <w:uiPriority w:val="99"/>
    <w:rPr>
      <w:rFonts w:ascii="宋体"/>
      <w:b/>
      <w:kern w:val="44"/>
      <w:sz w:val="44"/>
    </w:rPr>
  </w:style>
  <w:style w:type="character" w:customStyle="1" w:styleId="47">
    <w:name w:val="Heading 2 Char"/>
    <w:basedOn w:val="34"/>
    <w:qFormat/>
    <w:locked/>
    <w:uiPriority w:val="99"/>
    <w:rPr>
      <w:rFonts w:ascii="宋体" w:eastAsia="宋体"/>
      <w:b/>
      <w:sz w:val="36"/>
    </w:rPr>
  </w:style>
  <w:style w:type="character" w:customStyle="1" w:styleId="48">
    <w:name w:val="标题 3 字符"/>
    <w:basedOn w:val="34"/>
    <w:link w:val="5"/>
    <w:qFormat/>
    <w:locked/>
    <w:uiPriority w:val="99"/>
    <w:rPr>
      <w:rFonts w:eastAsia="黑体"/>
      <w:kern w:val="2"/>
      <w:sz w:val="32"/>
    </w:rPr>
  </w:style>
  <w:style w:type="character" w:customStyle="1" w:styleId="49">
    <w:name w:val="标题 4 字符"/>
    <w:basedOn w:val="34"/>
    <w:link w:val="6"/>
    <w:semiHidden/>
    <w:qFormat/>
    <w:uiPriority w:val="9"/>
    <w:rPr>
      <w:rFonts w:asciiTheme="majorHAnsi" w:hAnsiTheme="majorHAnsi" w:eastAsiaTheme="majorEastAsia" w:cstheme="majorBidi"/>
      <w:b/>
      <w:bCs/>
      <w:sz w:val="28"/>
      <w:szCs w:val="28"/>
    </w:rPr>
  </w:style>
  <w:style w:type="character" w:customStyle="1" w:styleId="50">
    <w:name w:val="标题 5 字符"/>
    <w:basedOn w:val="34"/>
    <w:link w:val="7"/>
    <w:semiHidden/>
    <w:qFormat/>
    <w:uiPriority w:val="9"/>
    <w:rPr>
      <w:rFonts w:ascii="宋体" w:cs="宋体"/>
      <w:b/>
      <w:bCs/>
      <w:sz w:val="28"/>
      <w:szCs w:val="28"/>
    </w:rPr>
  </w:style>
  <w:style w:type="character" w:customStyle="1" w:styleId="51">
    <w:name w:val="批注文字 字符"/>
    <w:basedOn w:val="34"/>
    <w:link w:val="12"/>
    <w:qFormat/>
    <w:locked/>
    <w:uiPriority w:val="99"/>
    <w:rPr>
      <w:rFonts w:ascii="宋体"/>
      <w:kern w:val="2"/>
      <w:sz w:val="24"/>
    </w:rPr>
  </w:style>
  <w:style w:type="character" w:customStyle="1" w:styleId="52">
    <w:name w:val="批注主题 字符"/>
    <w:basedOn w:val="51"/>
    <w:link w:val="30"/>
    <w:qFormat/>
    <w:locked/>
    <w:uiPriority w:val="99"/>
    <w:rPr>
      <w:rFonts w:ascii="宋体"/>
      <w:b/>
      <w:kern w:val="2"/>
      <w:sz w:val="28"/>
    </w:rPr>
  </w:style>
  <w:style w:type="character" w:customStyle="1" w:styleId="53">
    <w:name w:val="正文文本 字符"/>
    <w:basedOn w:val="34"/>
    <w:link w:val="13"/>
    <w:qFormat/>
    <w:locked/>
    <w:uiPriority w:val="99"/>
    <w:rPr>
      <w:rFonts w:ascii="宋体" w:eastAsia="宋体"/>
      <w:kern w:val="2"/>
      <w:sz w:val="32"/>
    </w:rPr>
  </w:style>
  <w:style w:type="character" w:customStyle="1" w:styleId="54">
    <w:name w:val="正文文本缩进 字符"/>
    <w:basedOn w:val="34"/>
    <w:link w:val="14"/>
    <w:qFormat/>
    <w:locked/>
    <w:uiPriority w:val="99"/>
    <w:rPr>
      <w:rFonts w:ascii="宋体"/>
      <w:kern w:val="2"/>
      <w:sz w:val="24"/>
    </w:rPr>
  </w:style>
  <w:style w:type="character" w:customStyle="1" w:styleId="55">
    <w:name w:val="纯文本 字符"/>
    <w:basedOn w:val="34"/>
    <w:link w:val="17"/>
    <w:qFormat/>
    <w:locked/>
    <w:uiPriority w:val="99"/>
    <w:rPr>
      <w:rFonts w:ascii="宋体" w:hAnsi="Courier New"/>
      <w:kern w:val="2"/>
      <w:sz w:val="21"/>
    </w:rPr>
  </w:style>
  <w:style w:type="character" w:customStyle="1" w:styleId="56">
    <w:name w:val="日期 字符"/>
    <w:basedOn w:val="34"/>
    <w:link w:val="18"/>
    <w:qFormat/>
    <w:locked/>
    <w:uiPriority w:val="99"/>
    <w:rPr>
      <w:rFonts w:ascii="宋体"/>
      <w:kern w:val="2"/>
      <w:sz w:val="24"/>
    </w:rPr>
  </w:style>
  <w:style w:type="character" w:customStyle="1" w:styleId="57">
    <w:name w:val="正文文本缩进 2 字符"/>
    <w:basedOn w:val="34"/>
    <w:link w:val="19"/>
    <w:qFormat/>
    <w:locked/>
    <w:uiPriority w:val="99"/>
    <w:rPr>
      <w:rFonts w:ascii="黑体" w:hAnsi="宋体" w:eastAsia="黑体"/>
      <w:b/>
      <w:kern w:val="2"/>
      <w:sz w:val="24"/>
      <w:lang w:val="en-US" w:eastAsia="zh-CN"/>
    </w:rPr>
  </w:style>
  <w:style w:type="character" w:customStyle="1" w:styleId="58">
    <w:name w:val="批注框文本 字符"/>
    <w:basedOn w:val="34"/>
    <w:link w:val="20"/>
    <w:qFormat/>
    <w:locked/>
    <w:uiPriority w:val="99"/>
    <w:rPr>
      <w:kern w:val="2"/>
      <w:sz w:val="18"/>
    </w:rPr>
  </w:style>
  <w:style w:type="character" w:customStyle="1" w:styleId="59">
    <w:name w:val="页脚 字符"/>
    <w:basedOn w:val="34"/>
    <w:link w:val="21"/>
    <w:qFormat/>
    <w:locked/>
    <w:uiPriority w:val="99"/>
    <w:rPr>
      <w:kern w:val="2"/>
      <w:sz w:val="18"/>
    </w:rPr>
  </w:style>
  <w:style w:type="character" w:customStyle="1" w:styleId="60">
    <w:name w:val="Header Char"/>
    <w:basedOn w:val="34"/>
    <w:qFormat/>
    <w:uiPriority w:val="99"/>
    <w:rPr>
      <w:kern w:val="2"/>
      <w:sz w:val="18"/>
    </w:rPr>
  </w:style>
  <w:style w:type="character" w:customStyle="1" w:styleId="61">
    <w:name w:val="副标题 字符"/>
    <w:basedOn w:val="34"/>
    <w:link w:val="23"/>
    <w:qFormat/>
    <w:locked/>
    <w:uiPriority w:val="99"/>
    <w:rPr>
      <w:rFonts w:ascii="Cambria" w:hAnsi="Cambria"/>
      <w:b/>
      <w:kern w:val="28"/>
      <w:sz w:val="32"/>
    </w:rPr>
  </w:style>
  <w:style w:type="character" w:customStyle="1" w:styleId="62">
    <w:name w:val="正文文本缩进 3 字符"/>
    <w:basedOn w:val="34"/>
    <w:link w:val="25"/>
    <w:qFormat/>
    <w:locked/>
    <w:uiPriority w:val="99"/>
    <w:rPr>
      <w:rFonts w:ascii="宋体" w:eastAsia="宋体"/>
      <w:kern w:val="2"/>
      <w:sz w:val="24"/>
    </w:rPr>
  </w:style>
  <w:style w:type="character" w:customStyle="1" w:styleId="63">
    <w:name w:val="正文文本 2 字符"/>
    <w:basedOn w:val="34"/>
    <w:link w:val="27"/>
    <w:qFormat/>
    <w:locked/>
    <w:uiPriority w:val="99"/>
    <w:rPr>
      <w:rFonts w:ascii="宋体"/>
      <w:kern w:val="2"/>
      <w:sz w:val="24"/>
    </w:rPr>
  </w:style>
  <w:style w:type="character" w:customStyle="1" w:styleId="64">
    <w:name w:val="标题 字符"/>
    <w:basedOn w:val="34"/>
    <w:link w:val="29"/>
    <w:qFormat/>
    <w:locked/>
    <w:uiPriority w:val="99"/>
    <w:rPr>
      <w:rFonts w:ascii="Cambria" w:hAnsi="Cambria"/>
      <w:b/>
      <w:kern w:val="2"/>
      <w:sz w:val="32"/>
    </w:rPr>
  </w:style>
  <w:style w:type="character" w:customStyle="1" w:styleId="65">
    <w:name w:val="Plain Text Char1"/>
    <w:qFormat/>
    <w:uiPriority w:val="99"/>
    <w:rPr>
      <w:rFonts w:ascii="宋体" w:hAnsi="Courier New"/>
      <w:sz w:val="21"/>
    </w:rPr>
  </w:style>
  <w:style w:type="character" w:customStyle="1" w:styleId="66">
    <w:name w:val="Footer Char1"/>
    <w:qFormat/>
    <w:uiPriority w:val="99"/>
    <w:rPr>
      <w:rFonts w:ascii="宋体"/>
      <w:sz w:val="18"/>
    </w:rPr>
  </w:style>
  <w:style w:type="character" w:customStyle="1" w:styleId="67">
    <w:name w:val="Subtitle Char1"/>
    <w:qFormat/>
    <w:uiPriority w:val="99"/>
    <w:rPr>
      <w:rFonts w:ascii="Cambria" w:hAnsi="Cambria"/>
      <w:b/>
      <w:kern w:val="28"/>
      <w:sz w:val="32"/>
    </w:rPr>
  </w:style>
  <w:style w:type="character" w:customStyle="1" w:styleId="68">
    <w:name w:val="Title Char1"/>
    <w:qFormat/>
    <w:uiPriority w:val="99"/>
    <w:rPr>
      <w:rFonts w:ascii="Cambria" w:hAnsi="Cambria"/>
      <w:b/>
      <w:sz w:val="32"/>
    </w:rPr>
  </w:style>
  <w:style w:type="character" w:customStyle="1" w:styleId="69">
    <w:name w:val="Body Text Char1"/>
    <w:qFormat/>
    <w:uiPriority w:val="99"/>
    <w:rPr>
      <w:rFonts w:ascii="宋体"/>
      <w:sz w:val="28"/>
    </w:rPr>
  </w:style>
  <w:style w:type="character" w:customStyle="1" w:styleId="70">
    <w:name w:val="Body Text Indent 3 Char1"/>
    <w:qFormat/>
    <w:uiPriority w:val="99"/>
    <w:rPr>
      <w:rFonts w:ascii="宋体"/>
      <w:sz w:val="16"/>
    </w:rPr>
  </w:style>
  <w:style w:type="character" w:customStyle="1" w:styleId="71">
    <w:name w:val="2级标题 Char Char"/>
    <w:link w:val="72"/>
    <w:qFormat/>
    <w:locked/>
    <w:uiPriority w:val="99"/>
    <w:rPr>
      <w:rFonts w:ascii="宋体" w:eastAsia="宋体"/>
      <w:b/>
      <w:color w:val="000000"/>
      <w:kern w:val="2"/>
      <w:sz w:val="24"/>
    </w:rPr>
  </w:style>
  <w:style w:type="paragraph" w:customStyle="1" w:styleId="72">
    <w:name w:val="2级标题"/>
    <w:basedOn w:val="1"/>
    <w:link w:val="71"/>
    <w:qFormat/>
    <w:uiPriority w:val="99"/>
    <w:pPr>
      <w:spacing w:line="480" w:lineRule="exact"/>
      <w:ind w:firstLine="482" w:firstLineChars="200"/>
    </w:pPr>
    <w:rPr>
      <w:rFonts w:cs="Times New Roman"/>
      <w:b/>
      <w:bCs/>
      <w:color w:val="000000"/>
      <w:sz w:val="24"/>
      <w:szCs w:val="24"/>
    </w:rPr>
  </w:style>
  <w:style w:type="character" w:customStyle="1" w:styleId="73">
    <w:name w:val="font11"/>
    <w:basedOn w:val="34"/>
    <w:qFormat/>
    <w:uiPriority w:val="99"/>
    <w:rPr>
      <w:rFonts w:ascii="宋体" w:hAnsi="宋体" w:eastAsia="宋体" w:cs="宋体"/>
      <w:b/>
      <w:color w:val="000000"/>
      <w:sz w:val="20"/>
      <w:szCs w:val="20"/>
    </w:rPr>
  </w:style>
  <w:style w:type="character" w:customStyle="1" w:styleId="74">
    <w:name w:val="页眉 字符"/>
    <w:link w:val="22"/>
    <w:qFormat/>
    <w:locked/>
    <w:uiPriority w:val="99"/>
    <w:rPr>
      <w:rFonts w:ascii="宋体"/>
      <w:sz w:val="18"/>
    </w:rPr>
  </w:style>
  <w:style w:type="character" w:customStyle="1" w:styleId="75">
    <w:name w:val="Balloon Text Char1"/>
    <w:qFormat/>
    <w:uiPriority w:val="99"/>
    <w:rPr>
      <w:rFonts w:ascii="宋体"/>
      <w:sz w:val="2"/>
    </w:rPr>
  </w:style>
  <w:style w:type="character" w:customStyle="1" w:styleId="76">
    <w:name w:val="font01"/>
    <w:basedOn w:val="34"/>
    <w:qFormat/>
    <w:uiPriority w:val="99"/>
    <w:rPr>
      <w:rFonts w:ascii="MingLiUfalt" w:hAnsi="MingLiUfalt" w:eastAsia="MingLiUfalt" w:cs="MingLiUfalt"/>
      <w:color w:val="000000"/>
      <w:sz w:val="20"/>
      <w:szCs w:val="20"/>
    </w:rPr>
  </w:style>
  <w:style w:type="character" w:customStyle="1" w:styleId="77">
    <w:name w:val="font21"/>
    <w:basedOn w:val="34"/>
    <w:qFormat/>
    <w:uiPriority w:val="99"/>
    <w:rPr>
      <w:rFonts w:ascii="宋体" w:hAnsi="宋体" w:eastAsia="宋体" w:cs="宋体"/>
      <w:color w:val="000000"/>
      <w:sz w:val="20"/>
      <w:szCs w:val="20"/>
    </w:rPr>
  </w:style>
  <w:style w:type="character" w:customStyle="1" w:styleId="78">
    <w:name w:val="unnamed11"/>
    <w:qFormat/>
    <w:uiPriority w:val="99"/>
    <w:rPr>
      <w:spacing w:val="340"/>
      <w:sz w:val="18"/>
    </w:rPr>
  </w:style>
  <w:style w:type="character" w:customStyle="1" w:styleId="79">
    <w:name w:val="Body Text Indent 2 Char1"/>
    <w:qFormat/>
    <w:uiPriority w:val="99"/>
    <w:rPr>
      <w:rFonts w:ascii="宋体"/>
      <w:sz w:val="28"/>
    </w:rPr>
  </w:style>
  <w:style w:type="character" w:customStyle="1" w:styleId="80">
    <w:name w:val="Date Char1"/>
    <w:qFormat/>
    <w:uiPriority w:val="99"/>
    <w:rPr>
      <w:rFonts w:ascii="宋体"/>
      <w:sz w:val="28"/>
    </w:rPr>
  </w:style>
  <w:style w:type="character" w:customStyle="1" w:styleId="81">
    <w:name w:val="Body Text 2 Char1"/>
    <w:qFormat/>
    <w:uiPriority w:val="99"/>
    <w:rPr>
      <w:rFonts w:ascii="宋体"/>
      <w:sz w:val="28"/>
    </w:rPr>
  </w:style>
  <w:style w:type="character" w:customStyle="1" w:styleId="82">
    <w:name w:val="Body Text Indent Char1"/>
    <w:qFormat/>
    <w:uiPriority w:val="99"/>
    <w:rPr>
      <w:rFonts w:ascii="宋体"/>
      <w:sz w:val="28"/>
    </w:rPr>
  </w:style>
  <w:style w:type="paragraph" w:customStyle="1" w:styleId="83">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0"/>
      <w:szCs w:val="20"/>
    </w:rPr>
  </w:style>
  <w:style w:type="paragraph" w:customStyle="1" w:styleId="8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2"/>
      <w:szCs w:val="22"/>
    </w:rPr>
  </w:style>
  <w:style w:type="paragraph" w:customStyle="1" w:styleId="85">
    <w:name w:val="font8"/>
    <w:basedOn w:val="1"/>
    <w:qFormat/>
    <w:uiPriority w:val="99"/>
    <w:pPr>
      <w:widowControl/>
      <w:spacing w:before="100" w:beforeAutospacing="1" w:after="100" w:afterAutospacing="1"/>
      <w:jc w:val="left"/>
    </w:pPr>
    <w:rPr>
      <w:rFonts w:hAnsi="宋体"/>
      <w:kern w:val="0"/>
      <w:sz w:val="20"/>
      <w:szCs w:val="20"/>
    </w:rPr>
  </w:style>
  <w:style w:type="paragraph" w:customStyle="1" w:styleId="86">
    <w:name w:val="xl4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cs="Times New Roman"/>
      <w:kern w:val="0"/>
      <w:sz w:val="24"/>
      <w:szCs w:val="24"/>
    </w:rPr>
  </w:style>
  <w:style w:type="paragraph" w:customStyle="1" w:styleId="87">
    <w:name w:val="TOC 标题1"/>
    <w:basedOn w:val="3"/>
    <w:next w:val="1"/>
    <w:qFormat/>
    <w:uiPriority w:val="99"/>
    <w:pPr>
      <w:widowControl/>
      <w:spacing w:before="480" w:line="276" w:lineRule="auto"/>
      <w:jc w:val="left"/>
      <w:outlineLvl w:val="9"/>
    </w:pPr>
    <w:rPr>
      <w:rFonts w:ascii="Cambria" w:hAnsi="Cambria" w:cs="Cambria"/>
      <w:color w:val="365F91"/>
      <w:kern w:val="0"/>
      <w:sz w:val="28"/>
      <w:szCs w:val="28"/>
    </w:rPr>
  </w:style>
  <w:style w:type="paragraph" w:customStyle="1" w:styleId="88">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9">
    <w:name w:val="È¡ÀÊ¡ÎÄ¡À¾"/>
    <w:basedOn w:val="1"/>
    <w:qFormat/>
    <w:uiPriority w:val="99"/>
    <w:pPr>
      <w:widowControl/>
      <w:overflowPunct w:val="0"/>
      <w:autoSpaceDE w:val="0"/>
      <w:autoSpaceDN w:val="0"/>
      <w:adjustRightInd w:val="0"/>
      <w:jc w:val="left"/>
      <w:textAlignment w:val="baseline"/>
    </w:pPr>
    <w:rPr>
      <w:kern w:val="0"/>
      <w:sz w:val="24"/>
      <w:szCs w:val="24"/>
    </w:rPr>
  </w:style>
  <w:style w:type="paragraph" w:customStyle="1" w:styleId="90">
    <w:name w:val="Char Char Char1 Char8"/>
    <w:basedOn w:val="1"/>
    <w:qFormat/>
    <w:uiPriority w:val="99"/>
    <w:pPr>
      <w:spacing w:line="360" w:lineRule="auto"/>
      <w:ind w:firstLine="200" w:firstLineChars="200"/>
    </w:pPr>
  </w:style>
  <w:style w:type="paragraph" w:customStyle="1" w:styleId="91">
    <w:name w:val="xl30"/>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2"/>
      <w:szCs w:val="22"/>
    </w:rPr>
  </w:style>
  <w:style w:type="paragraph" w:customStyle="1" w:styleId="92">
    <w:name w:val="xl45"/>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cs="Arial Unicode MS"/>
      <w:kern w:val="0"/>
    </w:rPr>
  </w:style>
  <w:style w:type="paragraph" w:customStyle="1" w:styleId="93">
    <w:name w:val="xl28"/>
    <w:basedOn w:val="1"/>
    <w:qFormat/>
    <w:uiPriority w:val="99"/>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Arial Unicode MS" w:hAnsi="Arial Unicode MS" w:cs="Arial Unicode MS"/>
      <w:kern w:val="0"/>
      <w:sz w:val="22"/>
      <w:szCs w:val="22"/>
    </w:rPr>
  </w:style>
  <w:style w:type="paragraph" w:customStyle="1" w:styleId="94">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0"/>
      <w:szCs w:val="20"/>
    </w:rPr>
  </w:style>
  <w:style w:type="paragraph" w:customStyle="1" w:styleId="95">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cs="Times New Roman"/>
      <w:kern w:val="0"/>
      <w:sz w:val="24"/>
      <w:szCs w:val="24"/>
    </w:rPr>
  </w:style>
  <w:style w:type="paragraph" w:customStyle="1" w:styleId="96">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cs="Times New Roman"/>
      <w:kern w:val="0"/>
      <w:sz w:val="20"/>
      <w:szCs w:val="20"/>
    </w:rPr>
  </w:style>
  <w:style w:type="paragraph" w:customStyle="1" w:styleId="97">
    <w:name w:val="hei"/>
    <w:basedOn w:val="1"/>
    <w:qFormat/>
    <w:uiPriority w:val="99"/>
    <w:pPr>
      <w:widowControl/>
      <w:spacing w:before="100" w:beforeAutospacing="1" w:after="100" w:afterAutospacing="1"/>
      <w:jc w:val="left"/>
    </w:pPr>
    <w:rPr>
      <w:rFonts w:hAnsi="宋体"/>
      <w:kern w:val="0"/>
      <w:sz w:val="24"/>
      <w:szCs w:val="24"/>
    </w:rPr>
  </w:style>
  <w:style w:type="paragraph" w:customStyle="1" w:styleId="98">
    <w:name w:val="xl4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rPr>
  </w:style>
  <w:style w:type="paragraph" w:customStyle="1" w:styleId="99">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sz w:val="24"/>
      <w:szCs w:val="24"/>
    </w:rPr>
  </w:style>
  <w:style w:type="paragraph" w:customStyle="1" w:styleId="100">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cs="Times New Roman"/>
      <w:kern w:val="0"/>
      <w:sz w:val="20"/>
      <w:szCs w:val="20"/>
    </w:rPr>
  </w:style>
  <w:style w:type="paragraph" w:customStyle="1" w:styleId="101">
    <w:name w:val="font5"/>
    <w:basedOn w:val="1"/>
    <w:qFormat/>
    <w:uiPriority w:val="99"/>
    <w:pPr>
      <w:widowControl/>
      <w:spacing w:before="100" w:beforeAutospacing="1" w:after="100" w:afterAutospacing="1"/>
      <w:jc w:val="left"/>
    </w:pPr>
    <w:rPr>
      <w:rFonts w:hAnsi="宋体"/>
      <w:kern w:val="0"/>
      <w:sz w:val="24"/>
      <w:szCs w:val="24"/>
    </w:rPr>
  </w:style>
  <w:style w:type="paragraph" w:customStyle="1" w:styleId="102">
    <w:name w:val="font9"/>
    <w:basedOn w:val="1"/>
    <w:qFormat/>
    <w:uiPriority w:val="99"/>
    <w:pPr>
      <w:widowControl/>
      <w:spacing w:before="100" w:beforeAutospacing="1" w:after="100" w:afterAutospacing="1"/>
      <w:jc w:val="left"/>
    </w:pPr>
    <w:rPr>
      <w:rFonts w:ascii="Times New Roman" w:cs="Times New Roman"/>
      <w:kern w:val="0"/>
      <w:sz w:val="20"/>
      <w:szCs w:val="20"/>
    </w:rPr>
  </w:style>
  <w:style w:type="paragraph" w:customStyle="1" w:styleId="103">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cs="Times New Roman"/>
      <w:kern w:val="0"/>
      <w:sz w:val="20"/>
      <w:szCs w:val="20"/>
    </w:rPr>
  </w:style>
  <w:style w:type="paragraph" w:customStyle="1" w:styleId="104">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cs="Times New Roman"/>
      <w:kern w:val="0"/>
      <w:sz w:val="22"/>
      <w:szCs w:val="22"/>
    </w:rPr>
  </w:style>
  <w:style w:type="paragraph" w:customStyle="1" w:styleId="105">
    <w:name w:val="默认段落字体 Para Char Char Char Char Char Char Char Char Char Char Char Char Char Char Char Char"/>
    <w:basedOn w:val="1"/>
    <w:qFormat/>
    <w:uiPriority w:val="99"/>
  </w:style>
  <w:style w:type="paragraph" w:customStyle="1" w:styleId="106">
    <w:name w:val="font6"/>
    <w:basedOn w:val="1"/>
    <w:qFormat/>
    <w:uiPriority w:val="99"/>
    <w:pPr>
      <w:widowControl/>
      <w:spacing w:before="100" w:beforeAutospacing="1" w:after="100" w:afterAutospacing="1"/>
      <w:jc w:val="left"/>
    </w:pPr>
    <w:rPr>
      <w:rFonts w:hAnsi="宋体"/>
      <w:kern w:val="0"/>
      <w:sz w:val="18"/>
      <w:szCs w:val="18"/>
    </w:rPr>
  </w:style>
  <w:style w:type="paragraph" w:customStyle="1" w:styleId="107">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cs="Times New Roman"/>
      <w:b/>
      <w:bCs/>
      <w:kern w:val="0"/>
      <w:sz w:val="24"/>
      <w:szCs w:val="24"/>
    </w:rPr>
  </w:style>
  <w:style w:type="paragraph" w:customStyle="1" w:styleId="108">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cs="Times New Roman"/>
      <w:kern w:val="0"/>
    </w:rPr>
  </w:style>
  <w:style w:type="paragraph" w:customStyle="1" w:styleId="109">
    <w:name w:val="列出段落11"/>
    <w:basedOn w:val="1"/>
    <w:qFormat/>
    <w:uiPriority w:val="99"/>
    <w:pPr>
      <w:ind w:firstLine="420" w:firstLineChars="200"/>
    </w:pPr>
    <w:rPr>
      <w:rFonts w:ascii="Times New Roman" w:cs="Times New Roman"/>
      <w:sz w:val="21"/>
      <w:szCs w:val="21"/>
    </w:rPr>
  </w:style>
  <w:style w:type="paragraph" w:customStyle="1" w:styleId="110">
    <w:name w:val="xl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cs="Times New Roman"/>
      <w:kern w:val="0"/>
      <w:sz w:val="20"/>
      <w:szCs w:val="20"/>
    </w:rPr>
  </w:style>
  <w:style w:type="paragraph" w:customStyle="1" w:styleId="111">
    <w:name w:val="xl2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cs="Arial Unicode MS"/>
      <w:kern w:val="0"/>
      <w:sz w:val="22"/>
      <w:szCs w:val="22"/>
    </w:rPr>
  </w:style>
  <w:style w:type="paragraph" w:customStyle="1" w:styleId="112">
    <w:name w:val="font7"/>
    <w:basedOn w:val="1"/>
    <w:qFormat/>
    <w:uiPriority w:val="99"/>
    <w:pPr>
      <w:widowControl/>
      <w:spacing w:before="100" w:beforeAutospacing="1" w:after="100" w:afterAutospacing="1"/>
      <w:jc w:val="left"/>
    </w:pPr>
    <w:rPr>
      <w:rFonts w:hAnsi="宋体"/>
      <w:kern w:val="0"/>
    </w:rPr>
  </w:style>
  <w:style w:type="paragraph" w:customStyle="1" w:styleId="113">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cs="Arial Unicode MS"/>
      <w:kern w:val="0"/>
    </w:rPr>
  </w:style>
  <w:style w:type="paragraph" w:customStyle="1" w:styleId="114">
    <w:name w:val="font10"/>
    <w:basedOn w:val="1"/>
    <w:qFormat/>
    <w:uiPriority w:val="99"/>
    <w:pPr>
      <w:widowControl/>
      <w:spacing w:before="100" w:beforeAutospacing="1" w:after="100" w:afterAutospacing="1"/>
      <w:jc w:val="left"/>
    </w:pPr>
    <w:rPr>
      <w:rFonts w:ascii="Times New Roman" w:cs="Times New Roman"/>
      <w:kern w:val="0"/>
    </w:rPr>
  </w:style>
  <w:style w:type="paragraph" w:customStyle="1" w:styleId="115">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cs="Times New Roman"/>
      <w:kern w:val="0"/>
      <w:sz w:val="24"/>
      <w:szCs w:val="24"/>
    </w:rPr>
  </w:style>
  <w:style w:type="paragraph" w:customStyle="1" w:styleId="116">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cs="Arial Unicode MS"/>
      <w:kern w:val="0"/>
      <w:sz w:val="20"/>
      <w:szCs w:val="20"/>
    </w:rPr>
  </w:style>
  <w:style w:type="paragraph" w:customStyle="1" w:styleId="117">
    <w:name w:val="xl4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18">
    <w:name w:val="修订1"/>
    <w:hidden/>
    <w:qFormat/>
    <w:uiPriority w:val="99"/>
    <w:rPr>
      <w:rFonts w:ascii="宋体" w:hAnsi="Times New Roman" w:eastAsia="宋体" w:cs="宋体"/>
      <w:kern w:val="2"/>
      <w:sz w:val="28"/>
      <w:szCs w:val="28"/>
      <w:lang w:val="en-US" w:eastAsia="zh-CN" w:bidi="ar-SA"/>
    </w:rPr>
  </w:style>
  <w:style w:type="paragraph" w:customStyle="1" w:styleId="119">
    <w:name w:val="列出段落2"/>
    <w:basedOn w:val="1"/>
    <w:qFormat/>
    <w:uiPriority w:val="99"/>
    <w:pPr>
      <w:spacing w:line="360" w:lineRule="auto"/>
      <w:ind w:firstLine="480" w:firstLineChars="200"/>
    </w:pPr>
    <w:rPr>
      <w:rFonts w:ascii="Times New Roman" w:cs="Times New Roman"/>
      <w:sz w:val="24"/>
      <w:szCs w:val="24"/>
    </w:rPr>
  </w:style>
  <w:style w:type="paragraph" w:customStyle="1" w:styleId="120">
    <w:name w:val="列出段落3"/>
    <w:basedOn w:val="1"/>
    <w:qFormat/>
    <w:uiPriority w:val="99"/>
    <w:pPr>
      <w:ind w:firstLine="420" w:firstLineChars="200"/>
    </w:pPr>
  </w:style>
  <w:style w:type="character" w:customStyle="1" w:styleId="121">
    <w:name w:val="font31"/>
    <w:basedOn w:val="34"/>
    <w:qFormat/>
    <w:uiPriority w:val="99"/>
    <w:rPr>
      <w:rFonts w:ascii="黑体" w:hAnsi="宋体" w:eastAsia="黑体" w:cs="黑体"/>
      <w:color w:val="000000"/>
      <w:sz w:val="20"/>
      <w:szCs w:val="20"/>
      <w:u w:val="none"/>
    </w:rPr>
  </w:style>
  <w:style w:type="character" w:customStyle="1" w:styleId="122">
    <w:name w:val="font91"/>
    <w:basedOn w:val="34"/>
    <w:qFormat/>
    <w:uiPriority w:val="99"/>
    <w:rPr>
      <w:rFonts w:ascii="Symbol" w:hAnsi="Symbol" w:cs="Symbol"/>
      <w:color w:val="000000"/>
      <w:sz w:val="20"/>
      <w:szCs w:val="20"/>
      <w:u w:val="none"/>
    </w:rPr>
  </w:style>
  <w:style w:type="character" w:customStyle="1" w:styleId="123">
    <w:name w:val="font41"/>
    <w:basedOn w:val="34"/>
    <w:qFormat/>
    <w:uiPriority w:val="99"/>
    <w:rPr>
      <w:rFonts w:ascii="Arial" w:hAnsi="Arial" w:cs="Arial"/>
      <w:color w:val="000000"/>
      <w:sz w:val="20"/>
      <w:szCs w:val="20"/>
      <w:u w:val="none"/>
    </w:rPr>
  </w:style>
  <w:style w:type="character" w:customStyle="1" w:styleId="124">
    <w:name w:val="font81"/>
    <w:basedOn w:val="34"/>
    <w:qFormat/>
    <w:uiPriority w:val="99"/>
    <w:rPr>
      <w:rFonts w:ascii="黑体" w:hAnsi="宋体" w:eastAsia="黑体" w:cs="黑体"/>
      <w:color w:val="000000"/>
      <w:sz w:val="20"/>
      <w:szCs w:val="20"/>
      <w:u w:val="none"/>
      <w:vertAlign w:val="superscript"/>
    </w:rPr>
  </w:style>
  <w:style w:type="paragraph" w:customStyle="1" w:styleId="125">
    <w:name w:val="Table Paragraph"/>
    <w:basedOn w:val="1"/>
    <w:qFormat/>
    <w:uiPriority w:val="99"/>
    <w:rPr>
      <w:rFonts w:hAnsi="宋体"/>
    </w:rPr>
  </w:style>
  <w:style w:type="character" w:customStyle="1" w:styleId="126">
    <w:name w:val="Char Char17"/>
    <w:qFormat/>
    <w:uiPriority w:val="9"/>
    <w:rPr>
      <w:rFonts w:ascii="Cambria" w:hAnsi="Cambria" w:eastAsia="宋体" w:cs="Times New Roman"/>
      <w:b/>
      <w:bCs/>
      <w:sz w:val="32"/>
      <w:szCs w:val="32"/>
    </w:rPr>
  </w:style>
  <w:style w:type="character" w:customStyle="1" w:styleId="127">
    <w:name w:val="font71"/>
    <w:basedOn w:val="34"/>
    <w:qFormat/>
    <w:uiPriority w:val="0"/>
    <w:rPr>
      <w:rFonts w:hint="eastAsia" w:ascii="宋体" w:hAnsi="宋体" w:eastAsia="宋体" w:cs="宋体"/>
      <w:color w:val="FF0000"/>
      <w:sz w:val="22"/>
      <w:szCs w:val="22"/>
      <w:u w:val="none"/>
    </w:rPr>
  </w:style>
  <w:style w:type="character" w:customStyle="1" w:styleId="128">
    <w:name w:val="font61"/>
    <w:basedOn w:val="34"/>
    <w:qFormat/>
    <w:uiPriority w:val="0"/>
    <w:rPr>
      <w:rFonts w:hint="eastAsia" w:ascii="宋体" w:hAnsi="宋体" w:eastAsia="宋体" w:cs="宋体"/>
      <w:color w:val="FF0000"/>
      <w:sz w:val="22"/>
      <w:szCs w:val="22"/>
      <w:u w:val="none"/>
    </w:rPr>
  </w:style>
  <w:style w:type="character" w:customStyle="1" w:styleId="129">
    <w:name w:val="标题 2 字符"/>
    <w:link w:val="4"/>
    <w:qFormat/>
    <w:uiPriority w:val="0"/>
    <w:rPr>
      <w:rFonts w:ascii="宋体" w:hAnsi="宋体" w:cs="宋体"/>
      <w:b/>
      <w:bCs/>
      <w:sz w:val="28"/>
      <w:szCs w:val="36"/>
    </w:rPr>
  </w:style>
  <w:style w:type="paragraph" w:customStyle="1" w:styleId="130">
    <w:name w:val="样式9 Char"/>
    <w:basedOn w:val="1"/>
    <w:qFormat/>
    <w:uiPriority w:val="0"/>
    <w:pPr>
      <w:widowControl/>
      <w:spacing w:line="440" w:lineRule="exact"/>
      <w:ind w:firstLine="200" w:firstLineChars="200"/>
      <w:jc w:val="left"/>
    </w:pPr>
    <w:rPr>
      <w:rFonts w:ascii="Calibri"/>
      <w:spacing w:val="6"/>
      <w:kern w:val="0"/>
      <w:sz w:val="24"/>
      <w:szCs w:val="20"/>
    </w:rPr>
  </w:style>
  <w:style w:type="character" w:customStyle="1" w:styleId="131">
    <w:name w:val="font12"/>
    <w:basedOn w:val="34"/>
    <w:qFormat/>
    <w:uiPriority w:val="0"/>
    <w:rPr>
      <w:rFonts w:hint="eastAsia" w:ascii="宋体" w:hAnsi="宋体" w:eastAsia="宋体" w:cs="宋体"/>
      <w:color w:val="000000"/>
      <w:sz w:val="22"/>
      <w:szCs w:val="22"/>
      <w:u w:val="none"/>
    </w:rPr>
  </w:style>
  <w:style w:type="character" w:customStyle="1" w:styleId="132">
    <w:name w:val="font101"/>
    <w:basedOn w:val="34"/>
    <w:qFormat/>
    <w:uiPriority w:val="0"/>
    <w:rPr>
      <w:rFonts w:hint="eastAsia" w:ascii="宋体" w:hAnsi="宋体" w:eastAsia="宋体" w:cs="宋体"/>
      <w:color w:val="000000"/>
      <w:sz w:val="24"/>
      <w:szCs w:val="24"/>
      <w:u w:val="none"/>
    </w:rPr>
  </w:style>
  <w:style w:type="paragraph" w:customStyle="1" w:styleId="133">
    <w:name w:val="标题 61"/>
    <w:basedOn w:val="1"/>
    <w:qFormat/>
    <w:uiPriority w:val="1"/>
    <w:pPr>
      <w:ind w:left="498"/>
      <w:outlineLvl w:val="6"/>
    </w:pPr>
    <w:rPr>
      <w:b/>
      <w:bCs/>
      <w:sz w:val="24"/>
      <w:szCs w:val="24"/>
    </w:rPr>
  </w:style>
  <w:style w:type="character" w:customStyle="1" w:styleId="134">
    <w:name w:val="NormalCharacter"/>
    <w:qFormat/>
    <w:uiPriority w:val="0"/>
    <w:rPr>
      <w:rFonts w:ascii="Calibri" w:hAnsi="Calibri" w:eastAsia="宋体"/>
    </w:rPr>
  </w:style>
  <w:style w:type="paragraph" w:customStyle="1" w:styleId="135">
    <w:name w:val="Note Level 1"/>
    <w:basedOn w:val="1"/>
    <w:qFormat/>
    <w:uiPriority w:val="99"/>
    <w:pPr>
      <w:keepNext/>
      <w:numPr>
        <w:ilvl w:val="0"/>
        <w:numId w:val="1"/>
      </w:numPr>
      <w:tabs>
        <w:tab w:val="left" w:pos="0"/>
        <w:tab w:val="left" w:pos="1020"/>
      </w:tabs>
      <w:contextualSpacing/>
      <w:outlineLvl w:val="0"/>
    </w:pPr>
    <w:rPr>
      <w:rFonts w:hAnsi="Calibri"/>
      <w:szCs w:val="20"/>
    </w:rPr>
  </w:style>
  <w:style w:type="paragraph" w:customStyle="1" w:styleId="136">
    <w:name w:val="Normal Indent"/>
    <w:qFormat/>
    <w:uiPriority w:val="0"/>
    <w:pPr>
      <w:ind w:firstLine="200" w:firstLineChars="200"/>
    </w:pPr>
    <w:rPr>
      <w:rFonts w:ascii="Times New Roman" w:hAnsi="Times New Roman" w:eastAsia="宋体" w:cs="Times New Roman"/>
      <w:lang w:val="en-US" w:eastAsia="zh-CN" w:bidi="ar-SA"/>
    </w:rPr>
  </w:style>
  <w:style w:type="character" w:customStyle="1" w:styleId="137">
    <w:name w:val="样式 仿宋"/>
    <w:qFormat/>
    <w:uiPriority w:val="0"/>
    <w:rPr>
      <w:rFonts w:ascii="仿宋" w:hAnsi="仿宋" w:eastAsia="仿宋"/>
      <w:kern w:val="1"/>
    </w:rPr>
  </w:style>
  <w:style w:type="character" w:customStyle="1" w:styleId="138">
    <w:name w:val="font51"/>
    <w:basedOn w:val="34"/>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64</Pages>
  <Words>34597</Words>
  <Characters>38589</Characters>
  <Lines>204</Lines>
  <Paragraphs>57</Paragraphs>
  <TotalTime>2</TotalTime>
  <ScaleCrop>false</ScaleCrop>
  <LinksUpToDate>false</LinksUpToDate>
  <CharactersWithSpaces>40096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2017-05-21T04:07:00Z</dcterms:created>
  <dc:creator>wulai</dc:creator>
  <cp:lastModifiedBy>段段</cp:lastModifiedBy>
  <cp:lastPrinted>2022-08-09T06:51:00Z</cp:lastPrinted>
  <dcterms:modified xsi:type="dcterms:W3CDTF">2023-04-04T01:14:10Z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E216996FB9074DE69E0B95213C68AE84</vt:lpwstr>
  </property>
</Properties>
</file>